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402" w:rsidRDefault="00500402" w:rsidP="00500402">
      <w:pPr>
        <w:spacing w:before="120" w:after="120"/>
        <w:jc w:val="center"/>
      </w:pPr>
      <w:bookmarkStart w:id="0" w:name="_GoBack"/>
      <w:bookmarkEnd w:id="0"/>
      <w:r w:rsidRPr="00500402">
        <w:t xml:space="preserve">Paper for The Commission for International </w:t>
      </w:r>
      <w:r>
        <w:t>Adult E</w:t>
      </w:r>
      <w:r w:rsidRPr="00500402">
        <w:t>ducation (CIAE) Pre Conference</w:t>
      </w:r>
    </w:p>
    <w:p w:rsidR="00500402" w:rsidRDefault="00500402" w:rsidP="00500402">
      <w:pPr>
        <w:spacing w:before="120" w:after="120"/>
        <w:jc w:val="center"/>
      </w:pPr>
      <w:r w:rsidRPr="00500402">
        <w:t xml:space="preserve"> of American Association for Adult and Continuing Education</w:t>
      </w:r>
      <w:r>
        <w:t xml:space="preserve"> (AAACE) Conference</w:t>
      </w:r>
    </w:p>
    <w:p w:rsidR="00085AFE" w:rsidRPr="00500402" w:rsidRDefault="00500402" w:rsidP="00500402">
      <w:pPr>
        <w:spacing w:before="120" w:after="120"/>
        <w:jc w:val="center"/>
        <w:rPr>
          <w:i/>
        </w:rPr>
      </w:pPr>
      <w:r w:rsidRPr="00500402">
        <w:rPr>
          <w:i/>
        </w:rPr>
        <w:t>Lexington, Kentucky, USA,</w:t>
      </w:r>
      <w:r>
        <w:rPr>
          <w:i/>
        </w:rPr>
        <w:t xml:space="preserve"> 3-5</w:t>
      </w:r>
      <w:r w:rsidRPr="00500402">
        <w:rPr>
          <w:i/>
        </w:rPr>
        <w:t xml:space="preserve"> Nov</w:t>
      </w:r>
      <w:r>
        <w:rPr>
          <w:i/>
        </w:rPr>
        <w:t>ember</w:t>
      </w:r>
      <w:r w:rsidRPr="00500402">
        <w:rPr>
          <w:i/>
        </w:rPr>
        <w:t xml:space="preserve"> 2013</w:t>
      </w:r>
    </w:p>
    <w:p w:rsidR="00085AFE" w:rsidRDefault="00085AFE" w:rsidP="006B33A6">
      <w:pPr>
        <w:spacing w:before="120" w:after="120"/>
        <w:rPr>
          <w:b/>
          <w:sz w:val="28"/>
        </w:rPr>
      </w:pPr>
    </w:p>
    <w:p w:rsidR="00D22AC0" w:rsidRDefault="00D22AC0" w:rsidP="006B33A6">
      <w:pPr>
        <w:spacing w:before="120" w:after="120"/>
        <w:rPr>
          <w:b/>
          <w:sz w:val="28"/>
        </w:rPr>
      </w:pPr>
    </w:p>
    <w:p w:rsidR="006B33A6" w:rsidRPr="006B33A6" w:rsidRDefault="00D22AC0" w:rsidP="00085AFE">
      <w:pPr>
        <w:spacing w:before="120" w:after="120"/>
        <w:jc w:val="center"/>
        <w:rPr>
          <w:b/>
          <w:sz w:val="28"/>
        </w:rPr>
      </w:pPr>
      <w:r w:rsidRPr="006B33A6">
        <w:rPr>
          <w:b/>
          <w:sz w:val="28"/>
        </w:rPr>
        <w:t>MEN’S LEARNING IN INTERNATIONAL SETTINGS</w:t>
      </w:r>
    </w:p>
    <w:p w:rsidR="001465E7" w:rsidRDefault="001465E7" w:rsidP="006B33A6">
      <w:pPr>
        <w:spacing w:before="120" w:after="120"/>
      </w:pPr>
    </w:p>
    <w:p w:rsidR="00D22AC0" w:rsidRPr="00085AFE" w:rsidRDefault="00D22AC0" w:rsidP="006B33A6">
      <w:pPr>
        <w:spacing w:before="120" w:after="120"/>
      </w:pPr>
      <w:r w:rsidRPr="00085AFE">
        <w:t>Barry Golding</w:t>
      </w:r>
      <w:r w:rsidR="00085AFE">
        <w:rPr>
          <w:rStyle w:val="FootnoteReference"/>
        </w:rPr>
        <w:footnoteReference w:id="1"/>
      </w:r>
    </w:p>
    <w:p w:rsidR="006B33A6" w:rsidRDefault="006B33A6" w:rsidP="006B33A6">
      <w:pPr>
        <w:spacing w:before="120" w:after="120"/>
      </w:pPr>
    </w:p>
    <w:p w:rsidR="005601F0" w:rsidRPr="00085AFE" w:rsidRDefault="00085AFE" w:rsidP="006B33A6">
      <w:pPr>
        <w:spacing w:before="120" w:after="120"/>
        <w:rPr>
          <w:i/>
        </w:rPr>
      </w:pPr>
      <w:r w:rsidRPr="00085AFE">
        <w:rPr>
          <w:i/>
        </w:rPr>
        <w:t>ABSTRACT</w:t>
      </w:r>
      <w:r>
        <w:rPr>
          <w:i/>
        </w:rPr>
        <w:t xml:space="preserve">: </w:t>
      </w:r>
      <w:r w:rsidR="007B53BC" w:rsidRPr="00085AFE">
        <w:rPr>
          <w:sz w:val="20"/>
        </w:rPr>
        <w:t xml:space="preserve">This </w:t>
      </w:r>
      <w:r>
        <w:rPr>
          <w:sz w:val="20"/>
        </w:rPr>
        <w:t>paper</w:t>
      </w:r>
      <w:r w:rsidR="006B33A6" w:rsidRPr="00085AFE">
        <w:rPr>
          <w:sz w:val="20"/>
        </w:rPr>
        <w:t xml:space="preserve"> critically examines new and emerging international research in the field on men’s learning</w:t>
      </w:r>
      <w:r w:rsidR="0051065F" w:rsidRPr="00085AFE">
        <w:rPr>
          <w:sz w:val="20"/>
        </w:rPr>
        <w:t>,</w:t>
      </w:r>
      <w:r w:rsidR="006B33A6" w:rsidRPr="00085AFE">
        <w:rPr>
          <w:sz w:val="20"/>
        </w:rPr>
        <w:t xml:space="preserve"> whose new research data tend to come mainly and recently from Australia and Europe. It deliberately builds on the first major work on men’s learning by Veronica McGivney (published by NIACE</w:t>
      </w:r>
      <w:r w:rsidR="00377F39" w:rsidRPr="00085AFE">
        <w:rPr>
          <w:sz w:val="20"/>
        </w:rPr>
        <w:t>,</w:t>
      </w:r>
      <w:r w:rsidR="006B33A6" w:rsidRPr="00085AFE">
        <w:rPr>
          <w:sz w:val="20"/>
        </w:rPr>
        <w:t xml:space="preserve"> </w:t>
      </w:r>
      <w:r w:rsidR="00377F39" w:rsidRPr="00085AFE">
        <w:rPr>
          <w:sz w:val="20"/>
        </w:rPr>
        <w:t xml:space="preserve">McGivney, </w:t>
      </w:r>
      <w:r w:rsidR="00B36FB7" w:rsidRPr="00085AFE">
        <w:rPr>
          <w:sz w:val="20"/>
        </w:rPr>
        <w:t>1</w:t>
      </w:r>
      <w:r w:rsidR="003750FF" w:rsidRPr="00085AFE">
        <w:rPr>
          <w:sz w:val="20"/>
        </w:rPr>
        <w:t>999</w:t>
      </w:r>
      <w:r w:rsidR="0051065F" w:rsidRPr="00085AFE">
        <w:rPr>
          <w:sz w:val="20"/>
        </w:rPr>
        <w:t>;</w:t>
      </w:r>
      <w:r w:rsidR="00B36FB7" w:rsidRPr="00085AFE">
        <w:rPr>
          <w:sz w:val="20"/>
        </w:rPr>
        <w:t xml:space="preserve"> 2004</w:t>
      </w:r>
      <w:r w:rsidR="006B33A6" w:rsidRPr="00085AFE">
        <w:rPr>
          <w:sz w:val="20"/>
        </w:rPr>
        <w:t xml:space="preserve">). It also identifies particular groups of </w:t>
      </w:r>
      <w:r w:rsidR="00F3522A" w:rsidRPr="00085AFE">
        <w:rPr>
          <w:sz w:val="20"/>
        </w:rPr>
        <w:t xml:space="preserve">boys and </w:t>
      </w:r>
      <w:r w:rsidR="006B33A6" w:rsidRPr="00085AFE">
        <w:rPr>
          <w:sz w:val="20"/>
        </w:rPr>
        <w:t>men who are adv</w:t>
      </w:r>
      <w:r w:rsidR="0088202F" w:rsidRPr="00085AFE">
        <w:rPr>
          <w:sz w:val="20"/>
        </w:rPr>
        <w:t>ersely affected by educational pre</w:t>
      </w:r>
      <w:r w:rsidR="006B33A6" w:rsidRPr="00085AFE">
        <w:rPr>
          <w:sz w:val="20"/>
        </w:rPr>
        <w:t xml:space="preserve">clusion in diverse international contexts. These </w:t>
      </w:r>
      <w:r w:rsidR="00AE3638" w:rsidRPr="00085AFE">
        <w:rPr>
          <w:sz w:val="20"/>
        </w:rPr>
        <w:t>particularly</w:t>
      </w:r>
      <w:r w:rsidR="009B4643" w:rsidRPr="00085AFE">
        <w:rPr>
          <w:sz w:val="20"/>
        </w:rPr>
        <w:t xml:space="preserve"> </w:t>
      </w:r>
      <w:r w:rsidR="006B33A6" w:rsidRPr="00085AFE">
        <w:rPr>
          <w:sz w:val="20"/>
        </w:rPr>
        <w:t>include men of all ages who are beyond work for a range of reasons (early school leavers, unemployed, withdrawn from the workforce, with a disability or in age retirement). It also includes men whose engagement with work, family and community is limited by exclusion from, active avoidance of</w:t>
      </w:r>
      <w:r w:rsidR="0051065F" w:rsidRPr="00085AFE">
        <w:rPr>
          <w:sz w:val="20"/>
        </w:rPr>
        <w:t>,</w:t>
      </w:r>
      <w:r w:rsidR="006B33A6" w:rsidRPr="00085AFE">
        <w:rPr>
          <w:sz w:val="20"/>
        </w:rPr>
        <w:t xml:space="preserve"> or aversion to formal education. The </w:t>
      </w:r>
      <w:r>
        <w:rPr>
          <w:sz w:val="20"/>
        </w:rPr>
        <w:t>paper</w:t>
      </w:r>
      <w:r w:rsidR="006B33A6" w:rsidRPr="00085AFE">
        <w:rPr>
          <w:sz w:val="20"/>
        </w:rPr>
        <w:t xml:space="preserve"> </w:t>
      </w:r>
      <w:r w:rsidR="00366E9D" w:rsidRPr="00085AFE">
        <w:rPr>
          <w:sz w:val="20"/>
        </w:rPr>
        <w:t xml:space="preserve">provides a </w:t>
      </w:r>
      <w:r w:rsidR="00B94ED9" w:rsidRPr="00085AFE">
        <w:rPr>
          <w:sz w:val="20"/>
        </w:rPr>
        <w:t xml:space="preserve">rationale and theoretical </w:t>
      </w:r>
      <w:r w:rsidR="00366E9D" w:rsidRPr="00085AFE">
        <w:rPr>
          <w:sz w:val="20"/>
        </w:rPr>
        <w:t>fra</w:t>
      </w:r>
      <w:r w:rsidR="00B94ED9" w:rsidRPr="00085AFE">
        <w:rPr>
          <w:sz w:val="20"/>
        </w:rPr>
        <w:t xml:space="preserve">mework for focusing on the needs </w:t>
      </w:r>
      <w:r w:rsidR="006B33A6" w:rsidRPr="00085AFE">
        <w:rPr>
          <w:sz w:val="20"/>
        </w:rPr>
        <w:t xml:space="preserve">men whose limited knowledge of formal learning cultures, new information technologies and functional literacies preclude them from accessing, participating in and benefiting from </w:t>
      </w:r>
      <w:r w:rsidR="00B94ED9" w:rsidRPr="00085AFE">
        <w:rPr>
          <w:sz w:val="20"/>
        </w:rPr>
        <w:t xml:space="preserve">life and </w:t>
      </w:r>
      <w:r w:rsidR="006B33A6" w:rsidRPr="00085AFE">
        <w:rPr>
          <w:sz w:val="20"/>
        </w:rPr>
        <w:t>new learning.</w:t>
      </w:r>
    </w:p>
    <w:p w:rsidR="00BF47C0" w:rsidRDefault="00BF47C0" w:rsidP="006B33A6">
      <w:pPr>
        <w:spacing w:before="120" w:after="120"/>
      </w:pPr>
    </w:p>
    <w:p w:rsidR="00BF47C0" w:rsidRPr="00085AFE" w:rsidRDefault="00CD6748" w:rsidP="006B33A6">
      <w:pPr>
        <w:spacing w:before="120" w:after="120"/>
        <w:rPr>
          <w:i/>
        </w:rPr>
      </w:pPr>
      <w:r w:rsidRPr="00085AFE">
        <w:rPr>
          <w:i/>
        </w:rPr>
        <w:t>What is</w:t>
      </w:r>
      <w:r w:rsidR="00BF47C0" w:rsidRPr="00085AFE">
        <w:rPr>
          <w:i/>
        </w:rPr>
        <w:t xml:space="preserve"> mean</w:t>
      </w:r>
      <w:r w:rsidRPr="00085AFE">
        <w:rPr>
          <w:i/>
        </w:rPr>
        <w:t>t</w:t>
      </w:r>
      <w:r w:rsidR="00BF47C0" w:rsidRPr="00085AFE">
        <w:rPr>
          <w:i/>
        </w:rPr>
        <w:t xml:space="preserve"> by learning?</w:t>
      </w:r>
    </w:p>
    <w:p w:rsidR="00BF47C0" w:rsidRDefault="00BF47C0" w:rsidP="006B33A6">
      <w:pPr>
        <w:spacing w:before="120" w:after="120"/>
      </w:pPr>
    </w:p>
    <w:p w:rsidR="007C2E68" w:rsidRDefault="00BB6451" w:rsidP="006B33A6">
      <w:pPr>
        <w:spacing w:before="120" w:after="120"/>
      </w:pPr>
      <w:r>
        <w:t>My</w:t>
      </w:r>
      <w:r w:rsidR="00CD6748">
        <w:t xml:space="preserve"> </w:t>
      </w:r>
      <w:r w:rsidR="00085AFE">
        <w:t>paper</w:t>
      </w:r>
      <w:r w:rsidR="00CD6748">
        <w:t xml:space="preserve"> </w:t>
      </w:r>
      <w:r w:rsidR="00085AFE">
        <w:t>begins with</w:t>
      </w:r>
      <w:r w:rsidR="000D3433">
        <w:t xml:space="preserve"> a strong </w:t>
      </w:r>
      <w:r w:rsidR="00CD6748">
        <w:t>presupposition</w:t>
      </w:r>
      <w:r w:rsidR="000D3433">
        <w:t xml:space="preserve"> that valuable adult </w:t>
      </w:r>
      <w:r w:rsidR="00935048">
        <w:t xml:space="preserve">and community learning, at its best, </w:t>
      </w:r>
      <w:r w:rsidR="0000299F">
        <w:t>for</w:t>
      </w:r>
      <w:r w:rsidR="00CD6748">
        <w:t xml:space="preserve"> many men, is </w:t>
      </w:r>
      <w:r w:rsidR="00377F39">
        <w:t>more bottom-</w:t>
      </w:r>
      <w:r w:rsidR="00935048">
        <w:t>up than</w:t>
      </w:r>
      <w:r w:rsidR="00377F39">
        <w:t xml:space="preserve"> top-</w:t>
      </w:r>
      <w:r w:rsidR="000D3433">
        <w:t>down</w:t>
      </w:r>
      <w:r w:rsidR="0051065F">
        <w:t>,</w:t>
      </w:r>
      <w:r w:rsidR="000D3433">
        <w:t xml:space="preserve"> and </w:t>
      </w:r>
      <w:r w:rsidR="00557FF5">
        <w:t>more</w:t>
      </w:r>
      <w:r w:rsidR="00935048">
        <w:t xml:space="preserve"> </w:t>
      </w:r>
      <w:r w:rsidR="000D3433">
        <w:t xml:space="preserve">relational and contextual </w:t>
      </w:r>
      <w:r w:rsidR="007B53BC">
        <w:t>rather t</w:t>
      </w:r>
      <w:r w:rsidR="000D3433">
        <w:t xml:space="preserve">han </w:t>
      </w:r>
      <w:r w:rsidR="00935048">
        <w:t xml:space="preserve">individual, </w:t>
      </w:r>
      <w:r w:rsidR="000D3433">
        <w:t xml:space="preserve">cognitive and behavioural. </w:t>
      </w:r>
      <w:r w:rsidR="00CD6748">
        <w:t>It contends</w:t>
      </w:r>
      <w:r w:rsidR="00557FF5">
        <w:t xml:space="preserve"> that</w:t>
      </w:r>
      <w:r w:rsidR="000D3433">
        <w:t xml:space="preserve"> the learning process is most powerful in </w:t>
      </w:r>
      <w:r w:rsidR="00557FF5">
        <w:t xml:space="preserve">community </w:t>
      </w:r>
      <w:r w:rsidR="000D3433">
        <w:t xml:space="preserve">contexts </w:t>
      </w:r>
      <w:r w:rsidR="00935048">
        <w:t>in which</w:t>
      </w:r>
      <w:r w:rsidR="000D3433">
        <w:t xml:space="preserve"> </w:t>
      </w:r>
      <w:r w:rsidR="00377F39">
        <w:t>men</w:t>
      </w:r>
      <w:r w:rsidR="00935048">
        <w:t xml:space="preserve"> simultaneously engage </w:t>
      </w:r>
      <w:r w:rsidR="0015322B">
        <w:t xml:space="preserve">with </w:t>
      </w:r>
      <w:r w:rsidR="00935048">
        <w:t xml:space="preserve">each other around issues of culture, identity and difference and learn </w:t>
      </w:r>
      <w:r w:rsidR="00935048" w:rsidRPr="00935048">
        <w:rPr>
          <w:i/>
        </w:rPr>
        <w:t>through</w:t>
      </w:r>
      <w:r w:rsidR="00935048">
        <w:t xml:space="preserve"> life (Comerford, 2005), rather than through </w:t>
      </w:r>
      <w:r w:rsidR="00557FF5">
        <w:t xml:space="preserve">formally </w:t>
      </w:r>
      <w:r w:rsidR="00935048">
        <w:t>prescribed content, process or teaching in formal educational settings</w:t>
      </w:r>
      <w:r w:rsidR="00085AFE">
        <w:t>.</w:t>
      </w:r>
    </w:p>
    <w:p w:rsidR="00B05517" w:rsidRDefault="00085AFE" w:rsidP="006B33A6">
      <w:pPr>
        <w:spacing w:before="120" w:after="120"/>
      </w:pPr>
      <w:r>
        <w:t>Given my</w:t>
      </w:r>
      <w:r w:rsidR="007C2E68">
        <w:t xml:space="preserve"> </w:t>
      </w:r>
      <w:r>
        <w:t xml:space="preserve">academic </w:t>
      </w:r>
      <w:r w:rsidR="007C2E68">
        <w:t xml:space="preserve">interest in </w:t>
      </w:r>
      <w:r w:rsidR="0000299F">
        <w:t xml:space="preserve">the power of </w:t>
      </w:r>
      <w:r w:rsidR="007C2E68">
        <w:t>bottom up</w:t>
      </w:r>
      <w:r w:rsidR="0000299F">
        <w:t>, relational and contextual</w:t>
      </w:r>
      <w:r w:rsidR="007C2E68">
        <w:t xml:space="preserve"> learning,</w:t>
      </w:r>
      <w:r w:rsidR="0000299F">
        <w:t xml:space="preserve"> it is unsurprising that </w:t>
      </w:r>
      <w:r>
        <w:t>my</w:t>
      </w:r>
      <w:r w:rsidR="0000299F">
        <w:t xml:space="preserve"> particular interest is in the less formal learning often taking place beyond dedicated learning contexts. Herein lies a dilemma in the literature a</w:t>
      </w:r>
      <w:r w:rsidR="0055438F">
        <w:t>bout what to call it (Smith 1999</w:t>
      </w:r>
      <w:r w:rsidR="0000299F">
        <w:t>; Colley</w:t>
      </w:r>
      <w:r w:rsidR="00B36FB7">
        <w:t>,</w:t>
      </w:r>
      <w:r w:rsidR="0000299F">
        <w:t xml:space="preserve"> Hodgkinso</w:t>
      </w:r>
      <w:r w:rsidR="00E73C7F">
        <w:t>n &amp; Malcolm, 2002; Golding, Brown &amp; Foley, 2009</w:t>
      </w:r>
      <w:r w:rsidR="0000299F">
        <w:t>)</w:t>
      </w:r>
      <w:r w:rsidR="00B05517">
        <w:t>.</w:t>
      </w:r>
      <w:r>
        <w:t xml:space="preserve"> If I </w:t>
      </w:r>
      <w:r w:rsidR="0000299F">
        <w:t>call</w:t>
      </w:r>
      <w:r>
        <w:t xml:space="preserve"> it ‘</w:t>
      </w:r>
      <w:r w:rsidR="0000299F">
        <w:t xml:space="preserve">non-formal </w:t>
      </w:r>
      <w:r w:rsidR="00B05517">
        <w:t>‘</w:t>
      </w:r>
      <w:r w:rsidR="0000299F">
        <w:t xml:space="preserve">or </w:t>
      </w:r>
      <w:r w:rsidR="00B05517">
        <w:t>‘</w:t>
      </w:r>
      <w:r w:rsidR="0000299F">
        <w:t>informal</w:t>
      </w:r>
      <w:r w:rsidR="00B05517">
        <w:t>’</w:t>
      </w:r>
      <w:r w:rsidR="0000299F">
        <w:t xml:space="preserve"> learning</w:t>
      </w:r>
      <w:r w:rsidR="0051065F">
        <w:t>,</w:t>
      </w:r>
      <w:r>
        <w:t xml:space="preserve"> I am,</w:t>
      </w:r>
      <w:r w:rsidR="0000299F">
        <w:t xml:space="preserve"> in essence</w:t>
      </w:r>
      <w:r>
        <w:t>,</w:t>
      </w:r>
      <w:r w:rsidR="0000299F">
        <w:t xml:space="preserve"> privileging and setting </w:t>
      </w:r>
      <w:r w:rsidR="00B05517">
        <w:t>it in false opposition to</w:t>
      </w:r>
      <w:r w:rsidR="0000299F">
        <w:t xml:space="preserve"> </w:t>
      </w:r>
      <w:r w:rsidR="00377F39">
        <w:t>learning that is</w:t>
      </w:r>
      <w:r w:rsidR="0000299F">
        <w:t xml:space="preserve"> fixed, formal, taught and accredited. Even going down the path of seeing informal learning as </w:t>
      </w:r>
      <w:r w:rsidR="00E73C7F">
        <w:t xml:space="preserve">being found only in </w:t>
      </w:r>
      <w:r w:rsidR="0000299F" w:rsidRPr="00E73C7F">
        <w:rPr>
          <w:i/>
        </w:rPr>
        <w:t>situated</w:t>
      </w:r>
      <w:r w:rsidR="0000299F">
        <w:t xml:space="preserve"> </w:t>
      </w:r>
      <w:r w:rsidR="00E73C7F">
        <w:t>communities of practice</w:t>
      </w:r>
      <w:r w:rsidR="007B53BC">
        <w:t>,</w:t>
      </w:r>
      <w:r w:rsidR="00E73C7F">
        <w:t xml:space="preserve"> </w:t>
      </w:r>
      <w:r w:rsidR="0000299F">
        <w:t>in the Lave and Wenger (1991)</w:t>
      </w:r>
      <w:r w:rsidR="00E73C7F">
        <w:t xml:space="preserve"> sense</w:t>
      </w:r>
      <w:r w:rsidR="007B53BC">
        <w:t>,</w:t>
      </w:r>
      <w:r w:rsidR="00E73C7F">
        <w:t xml:space="preserve"> in contrast to formal learning</w:t>
      </w:r>
      <w:r w:rsidR="007B53BC">
        <w:t>,</w:t>
      </w:r>
      <w:r w:rsidR="00E73C7F">
        <w:t xml:space="preserve"> is also a dead end, si</w:t>
      </w:r>
      <w:r w:rsidR="00B05517">
        <w:t>nce</w:t>
      </w:r>
      <w:r w:rsidR="0000299F">
        <w:t xml:space="preserve"> </w:t>
      </w:r>
      <w:r w:rsidR="00B05517">
        <w:t>all knowle</w:t>
      </w:r>
      <w:r w:rsidR="007B53BC">
        <w:t>dge is situated in some context</w:t>
      </w:r>
      <w:r w:rsidR="00B05517">
        <w:t xml:space="preserve">. For </w:t>
      </w:r>
      <w:r w:rsidR="00E73C7F">
        <w:t xml:space="preserve">each of </w:t>
      </w:r>
      <w:r w:rsidR="00B05517">
        <w:t>these reasons</w:t>
      </w:r>
      <w:r w:rsidR="0051065F">
        <w:t>,</w:t>
      </w:r>
      <w:r>
        <w:t xml:space="preserve"> I</w:t>
      </w:r>
      <w:r w:rsidR="00B05517">
        <w:t xml:space="preserve"> concur with Colley, Hodgkinson &amp; Malcolm (2002, p.</w:t>
      </w:r>
      <w:r w:rsidR="00CD6748">
        <w:t xml:space="preserve"> </w:t>
      </w:r>
      <w:r w:rsidR="00B05517">
        <w:t>1) that</w:t>
      </w:r>
      <w:r w:rsidR="00377F39">
        <w:t xml:space="preserve"> there are</w:t>
      </w:r>
      <w:r w:rsidR="00757D91">
        <w:t>:</w:t>
      </w:r>
    </w:p>
    <w:p w:rsidR="006A2E2C" w:rsidRDefault="00377F39" w:rsidP="00B05517">
      <w:pPr>
        <w:spacing w:before="120" w:after="120"/>
        <w:ind w:left="567"/>
        <w:rPr>
          <w:sz w:val="22"/>
        </w:rPr>
      </w:pPr>
      <w:r>
        <w:rPr>
          <w:sz w:val="22"/>
        </w:rPr>
        <w:lastRenderedPageBreak/>
        <w:t xml:space="preserve">… </w:t>
      </w:r>
      <w:r w:rsidR="00B05517" w:rsidRPr="00B05517">
        <w:rPr>
          <w:sz w:val="22"/>
        </w:rPr>
        <w:t>few, if any, learning situations where either informal of formal elements are completely absent. Boundaries or relationships between informal, non-formal and formal learning can only be understood in particular contexts.</w:t>
      </w:r>
    </w:p>
    <w:p w:rsidR="00D443B4" w:rsidRPr="00B05517" w:rsidRDefault="00D443B4" w:rsidP="00B05517">
      <w:pPr>
        <w:spacing w:before="120" w:after="120"/>
        <w:ind w:left="567"/>
        <w:rPr>
          <w:sz w:val="22"/>
        </w:rPr>
      </w:pPr>
    </w:p>
    <w:p w:rsidR="00D130AD" w:rsidRDefault="00B05517" w:rsidP="006B33A6">
      <w:pPr>
        <w:spacing w:before="120" w:after="120"/>
      </w:pPr>
      <w:r>
        <w:t>That said, by including everything as ‘learning’ and not distinguishing between the formal and accredited and ‘the rest’ makes the measurement tasks of researchers and policy makers much more difficult</w:t>
      </w:r>
      <w:r w:rsidR="00E63953">
        <w:t>, particularly if lifelong and lifewide learning is considered to occur in all contexts down to individual reading</w:t>
      </w:r>
      <w:r w:rsidR="00BB6451">
        <w:t>,</w:t>
      </w:r>
      <w:r w:rsidR="00E63953">
        <w:t xml:space="preserve"> </w:t>
      </w:r>
      <w:r w:rsidR="0051065F">
        <w:t>including</w:t>
      </w:r>
      <w:r w:rsidR="00E63953">
        <w:t xml:space="preserve"> use of the internet</w:t>
      </w:r>
      <w:r w:rsidR="00377F39">
        <w:t>, for example</w:t>
      </w:r>
      <w:r>
        <w:t xml:space="preserve">. </w:t>
      </w:r>
      <w:r w:rsidR="00E63953">
        <w:t xml:space="preserve">Livingstone (2000) in Canada used the iceberg analogy </w:t>
      </w:r>
      <w:r w:rsidR="00377F39">
        <w:t>to suggest</w:t>
      </w:r>
      <w:r w:rsidR="00E63953">
        <w:t xml:space="preserve"> that the bulk of learning remains hidden below the more obvious, smaller but more visible</w:t>
      </w:r>
      <w:r w:rsidR="00377F39">
        <w:t>,</w:t>
      </w:r>
      <w:r w:rsidR="00E63953">
        <w:t xml:space="preserve"> formal and accredited learning. NCVER (2</w:t>
      </w:r>
      <w:r w:rsidR="0051065F">
        <w:t>009</w:t>
      </w:r>
      <w:r w:rsidR="00D130AD">
        <w:t xml:space="preserve">) </w:t>
      </w:r>
      <w:r w:rsidR="00BB6451">
        <w:t xml:space="preserve">in Australia </w:t>
      </w:r>
      <w:r w:rsidR="00D130AD">
        <w:t>have picked up the analogy</w:t>
      </w:r>
      <w:r w:rsidR="00E63953">
        <w:t xml:space="preserve"> in their discuss</w:t>
      </w:r>
      <w:r w:rsidR="00F63B41">
        <w:t>i</w:t>
      </w:r>
      <w:r w:rsidR="00E63953">
        <w:t>on of informal learning</w:t>
      </w:r>
      <w:r w:rsidR="0051065F">
        <w:t>,</w:t>
      </w:r>
      <w:r w:rsidR="00E63953">
        <w:t xml:space="preserve"> to claim that ‘We should only recognise learning if it </w:t>
      </w:r>
      <w:r w:rsidR="00377F39">
        <w:t xml:space="preserve">is </w:t>
      </w:r>
      <w:r w:rsidR="00E63953">
        <w:t>of a high quality’ (where ‘people are gaining the right knowledge and are applying it in a safe and effective</w:t>
      </w:r>
      <w:r w:rsidR="00D130AD">
        <w:t xml:space="preserve"> way’)</w:t>
      </w:r>
      <w:r w:rsidR="00377F39">
        <w:t>. Th</w:t>
      </w:r>
      <w:r w:rsidR="00085AFE">
        <w:t>is is a contention with which I</w:t>
      </w:r>
      <w:r w:rsidR="00377F39">
        <w:t xml:space="preserve"> disagree. It</w:t>
      </w:r>
      <w:r w:rsidR="00E63953">
        <w:t xml:space="preserve"> open</w:t>
      </w:r>
      <w:r w:rsidR="00F63B41">
        <w:t>s</w:t>
      </w:r>
      <w:r w:rsidR="00E63953">
        <w:t xml:space="preserve"> up a raft of other questions abo</w:t>
      </w:r>
      <w:r w:rsidR="00D130AD">
        <w:t>ut learner agency and intention through life</w:t>
      </w:r>
      <w:r w:rsidR="00F63B41">
        <w:t>,</w:t>
      </w:r>
      <w:r w:rsidR="00D130AD">
        <w:t xml:space="preserve"> </w:t>
      </w:r>
      <w:r w:rsidR="00E63953">
        <w:t>quit</w:t>
      </w:r>
      <w:r w:rsidR="00F63B41">
        <w:t xml:space="preserve">e apart from the questions about the value of learning through doing, the importance of </w:t>
      </w:r>
      <w:r w:rsidR="00D130AD">
        <w:t>serendipity</w:t>
      </w:r>
      <w:r w:rsidR="00F63B41">
        <w:t xml:space="preserve">, the value </w:t>
      </w:r>
      <w:r w:rsidR="007B53BC">
        <w:t xml:space="preserve">of </w:t>
      </w:r>
      <w:r w:rsidR="00F63B41">
        <w:t xml:space="preserve">learning </w:t>
      </w:r>
      <w:r w:rsidR="00D130AD">
        <w:t>through making mistakes</w:t>
      </w:r>
      <w:r w:rsidR="0051065F">
        <w:t>,</w:t>
      </w:r>
      <w:r w:rsidR="00D130AD">
        <w:t xml:space="preserve"> and particularly </w:t>
      </w:r>
      <w:r w:rsidR="00377F39">
        <w:t xml:space="preserve">about </w:t>
      </w:r>
      <w:r w:rsidR="00D130AD">
        <w:t xml:space="preserve">who decides what is the ‘right </w:t>
      </w:r>
      <w:r w:rsidR="00377F39">
        <w:t>knowledge’ in a society</w:t>
      </w:r>
      <w:r w:rsidR="0051065F">
        <w:t>, with a now</w:t>
      </w:r>
      <w:r w:rsidR="00D130AD">
        <w:t xml:space="preserve"> unlimited potential to post and a</w:t>
      </w:r>
      <w:r w:rsidR="00E73C7F">
        <w:t>ccess knowledge on the internet</w:t>
      </w:r>
      <w:r w:rsidR="00D130AD">
        <w:t>.</w:t>
      </w:r>
      <w:r w:rsidR="00377F39">
        <w:t xml:space="preserve"> </w:t>
      </w:r>
      <w:r w:rsidR="00E73C7F">
        <w:t>Finally it is important to acknowledge, as Hager (2003</w:t>
      </w:r>
      <w:r w:rsidR="00C32A87">
        <w:t>, p.</w:t>
      </w:r>
      <w:r w:rsidR="0051065F">
        <w:t xml:space="preserve"> </w:t>
      </w:r>
      <w:r w:rsidR="00C32A87">
        <w:t>533</w:t>
      </w:r>
      <w:r w:rsidR="00E73C7F">
        <w:t>) notes, that</w:t>
      </w:r>
      <w:r w:rsidR="00377F39">
        <w:t xml:space="preserve"> ‘</w:t>
      </w:r>
      <w:r w:rsidR="00C32A87">
        <w:t>learners themselves, influenced by prevailing assumptions about education and knowledge, are often unaware of the significance, range and depth of their informal knowledge</w:t>
      </w:r>
      <w:r w:rsidR="0051065F">
        <w:t>’</w:t>
      </w:r>
      <w:r w:rsidR="00C32A87">
        <w:t>.</w:t>
      </w:r>
    </w:p>
    <w:p w:rsidR="00D443B4" w:rsidRDefault="00D443B4" w:rsidP="006B33A6">
      <w:pPr>
        <w:spacing w:before="120" w:after="120"/>
      </w:pPr>
    </w:p>
    <w:p w:rsidR="00D443B4" w:rsidRPr="00085AFE" w:rsidRDefault="00D443B4" w:rsidP="006B33A6">
      <w:pPr>
        <w:spacing w:before="120" w:after="120"/>
        <w:rPr>
          <w:i/>
        </w:rPr>
      </w:pPr>
      <w:r w:rsidRPr="00085AFE">
        <w:rPr>
          <w:i/>
        </w:rPr>
        <w:t>Theories about why men engage in learning (or not)</w:t>
      </w:r>
    </w:p>
    <w:p w:rsidR="00557FF5" w:rsidRPr="00D443B4" w:rsidRDefault="00557FF5" w:rsidP="006B33A6">
      <w:pPr>
        <w:spacing w:before="120" w:after="120"/>
        <w:rPr>
          <w:i/>
        </w:rPr>
      </w:pPr>
    </w:p>
    <w:p w:rsidR="00085AFE" w:rsidRDefault="00085AFE" w:rsidP="00085AFE">
      <w:pPr>
        <w:spacing w:before="120" w:after="120"/>
      </w:pPr>
      <w:r>
        <w:t xml:space="preserve">My </w:t>
      </w:r>
      <w:r w:rsidR="00D443B4">
        <w:t>interest in men’s engagement (or not) in learning raises</w:t>
      </w:r>
      <w:r w:rsidR="00557FF5">
        <w:t xml:space="preserve"> the important question as to why and whether </w:t>
      </w:r>
      <w:r w:rsidR="00D443B4">
        <w:t>men</w:t>
      </w:r>
      <w:r w:rsidR="00557FF5">
        <w:t xml:space="preserve"> deliberately engage (and in many instance avoid) learning</w:t>
      </w:r>
      <w:r w:rsidR="0016104B">
        <w:t>.</w:t>
      </w:r>
      <w:r>
        <w:t xml:space="preserve"> My answer</w:t>
      </w:r>
      <w:r w:rsidR="00D443B4">
        <w:t>, given the diverse contexts and life circumstances in which individuals and groups of men find themselves</w:t>
      </w:r>
      <w:r w:rsidR="00D51E44">
        <w:t>, will also be diverse, and depe</w:t>
      </w:r>
      <w:r w:rsidR="00D443B4">
        <w:t>n</w:t>
      </w:r>
      <w:r w:rsidR="00D51E44">
        <w:t>dent on which theories of learnin</w:t>
      </w:r>
      <w:r w:rsidR="00D443B4">
        <w:t>g</w:t>
      </w:r>
      <w:r w:rsidR="00D51E44">
        <w:t xml:space="preserve"> are used as lenses for the analysis</w:t>
      </w:r>
      <w:r w:rsidR="00D443B4">
        <w:t xml:space="preserve">. </w:t>
      </w:r>
      <w:r w:rsidR="0016104B">
        <w:t>McGivney (1990) summarised</w:t>
      </w:r>
      <w:r w:rsidR="00150AB7">
        <w:t xml:space="preserve"> six better-known theories of engagement in learning</w:t>
      </w:r>
      <w:r w:rsidR="0016104B">
        <w:t xml:space="preserve"> by adults</w:t>
      </w:r>
      <w:r w:rsidR="00D51E44">
        <w:t xml:space="preserve"> related to their participation</w:t>
      </w:r>
      <w:r w:rsidR="0016104B">
        <w:t xml:space="preserve">, </w:t>
      </w:r>
      <w:r w:rsidR="00D51E44">
        <w:t>later</w:t>
      </w:r>
      <w:r w:rsidR="0016104B">
        <w:t xml:space="preserve"> discussed by Smith (1998). </w:t>
      </w:r>
    </w:p>
    <w:p w:rsidR="00085AFE" w:rsidRDefault="00085AFE" w:rsidP="00085AFE">
      <w:pPr>
        <w:spacing w:before="120" w:after="120"/>
      </w:pPr>
    </w:p>
    <w:p w:rsidR="0016104B" w:rsidRDefault="0016104B" w:rsidP="00085AFE">
      <w:pPr>
        <w:spacing w:before="120" w:after="120"/>
      </w:pPr>
      <w:r>
        <w:t>These have to do with</w:t>
      </w:r>
      <w:r w:rsidR="00D51E44">
        <w:t>:</w:t>
      </w:r>
      <w:r w:rsidR="00085AFE">
        <w:t xml:space="preserve"> </w:t>
      </w:r>
      <w:r w:rsidR="00150AB7">
        <w:t xml:space="preserve">Maslow’s </w:t>
      </w:r>
      <w:r>
        <w:t xml:space="preserve">(1954) </w:t>
      </w:r>
      <w:r w:rsidRPr="00085AFE">
        <w:rPr>
          <w:i/>
        </w:rPr>
        <w:t xml:space="preserve">theory of </w:t>
      </w:r>
      <w:r w:rsidR="00D51E44" w:rsidRPr="00085AFE">
        <w:rPr>
          <w:i/>
        </w:rPr>
        <w:t xml:space="preserve">hierarchy of </w:t>
      </w:r>
      <w:r w:rsidR="00150AB7" w:rsidRPr="00085AFE">
        <w:rPr>
          <w:i/>
        </w:rPr>
        <w:t>needs</w:t>
      </w:r>
      <w:r w:rsidR="00085AFE">
        <w:t xml:space="preserve">; </w:t>
      </w:r>
      <w:r w:rsidR="00150AB7" w:rsidRPr="00085AFE">
        <w:rPr>
          <w:i/>
        </w:rPr>
        <w:t xml:space="preserve">congruence </w:t>
      </w:r>
      <w:r w:rsidRPr="00085AFE">
        <w:rPr>
          <w:i/>
        </w:rPr>
        <w:t>theory</w:t>
      </w:r>
      <w:r>
        <w:t xml:space="preserve">, linking </w:t>
      </w:r>
      <w:r w:rsidR="00150AB7">
        <w:t xml:space="preserve">adult self-concept </w:t>
      </w:r>
      <w:r w:rsidR="00D51E44">
        <w:t>to</w:t>
      </w:r>
      <w:r w:rsidR="00150AB7">
        <w:t xml:space="preserve"> the natu</w:t>
      </w:r>
      <w:r>
        <w:t>re of education (Boshier, 1973)</w:t>
      </w:r>
      <w:r w:rsidR="00085AFE">
        <w:t xml:space="preserve">; </w:t>
      </w:r>
      <w:r w:rsidR="00150AB7" w:rsidRPr="00085AFE">
        <w:rPr>
          <w:i/>
        </w:rPr>
        <w:t>force field theory</w:t>
      </w:r>
      <w:r w:rsidR="00150AB7">
        <w:t xml:space="preserve"> (Cross, 1981), where motivation emerges from the interaction of expectancy </w:t>
      </w:r>
      <w:r w:rsidR="00D51E44">
        <w:t xml:space="preserve">(of personal success and positive consequences) </w:t>
      </w:r>
      <w:r w:rsidR="00150AB7">
        <w:t>and ‘valence’ (the positive and negative va</w:t>
      </w:r>
      <w:r>
        <w:t>lues assign</w:t>
      </w:r>
      <w:r w:rsidR="00D51E44">
        <w:t>ed</w:t>
      </w:r>
      <w:r>
        <w:t xml:space="preserve"> to learning)</w:t>
      </w:r>
      <w:r w:rsidR="00085AFE">
        <w:t xml:space="preserve"> </w:t>
      </w:r>
      <w:r w:rsidR="00150AB7" w:rsidRPr="00085AFE">
        <w:rPr>
          <w:i/>
        </w:rPr>
        <w:t>life transitions theory</w:t>
      </w:r>
      <w:r>
        <w:t xml:space="preserve"> (Sheehy, 1976), where people are more likely to participate in education through changes in life circumstance (job, break up of relationships, having chi</w:t>
      </w:r>
      <w:r w:rsidR="00377F39">
        <w:t>ldren, bereavement, retirement)</w:t>
      </w:r>
      <w:r w:rsidR="00085AFE">
        <w:t xml:space="preserve">; </w:t>
      </w:r>
      <w:r w:rsidRPr="00085AFE">
        <w:rPr>
          <w:i/>
        </w:rPr>
        <w:t>reference gr</w:t>
      </w:r>
      <w:r w:rsidR="00D443B4" w:rsidRPr="00085AFE">
        <w:rPr>
          <w:i/>
        </w:rPr>
        <w:t>oup theory</w:t>
      </w:r>
      <w:r w:rsidR="00D443B4">
        <w:t>, where people identif</w:t>
      </w:r>
      <w:r>
        <w:t>y with the social and cultural group to which they aspire to or belong</w:t>
      </w:r>
      <w:r w:rsidR="00D51E44">
        <w:t xml:space="preserve"> (McGivney, 1993)</w:t>
      </w:r>
      <w:r w:rsidR="00085AFE">
        <w:t xml:space="preserve"> and </w:t>
      </w:r>
      <w:r w:rsidRPr="00085AFE">
        <w:rPr>
          <w:i/>
        </w:rPr>
        <w:t>social participation theory</w:t>
      </w:r>
      <w:r>
        <w:t xml:space="preserve"> (Courtney, 1991), where reason</w:t>
      </w:r>
      <w:r w:rsidR="00377F39">
        <w:t>s</w:t>
      </w:r>
      <w:r>
        <w:t xml:space="preserve"> for learning are connected to the associated social roles and rewards.</w:t>
      </w:r>
    </w:p>
    <w:p w:rsidR="00CD6748" w:rsidRDefault="00CD6748" w:rsidP="006B33A6">
      <w:pPr>
        <w:spacing w:before="120" w:after="120"/>
      </w:pPr>
    </w:p>
    <w:p w:rsidR="00A30E98" w:rsidRDefault="00377F39" w:rsidP="006B33A6">
      <w:pPr>
        <w:spacing w:before="120" w:after="120"/>
      </w:pPr>
      <w:r>
        <w:lastRenderedPageBreak/>
        <w:t>In the fifteen</w:t>
      </w:r>
      <w:r w:rsidR="00D51E44">
        <w:t xml:space="preserve"> years since 1998, several other </w:t>
      </w:r>
      <w:r w:rsidR="00C82D6A">
        <w:t xml:space="preserve">influential </w:t>
      </w:r>
      <w:r w:rsidR="00D51E44">
        <w:t>theor</w:t>
      </w:r>
      <w:r w:rsidR="00C82D6A">
        <w:t xml:space="preserve">ies have grown in importance </w:t>
      </w:r>
      <w:r w:rsidR="00F20A61">
        <w:t xml:space="preserve">in the English speaking </w:t>
      </w:r>
      <w:r>
        <w:t>literature and become movements</w:t>
      </w:r>
      <w:r w:rsidR="00C82D6A">
        <w:t>, t</w:t>
      </w:r>
      <w:r w:rsidR="00F20A61">
        <w:t>he most influential of which come</w:t>
      </w:r>
      <w:r>
        <w:t>s</w:t>
      </w:r>
      <w:r w:rsidR="00C82D6A">
        <w:t xml:space="preserve"> from </w:t>
      </w:r>
      <w:r w:rsidR="00F20A61">
        <w:t xml:space="preserve">French sociology, particularly from </w:t>
      </w:r>
      <w:r w:rsidR="00C82D6A">
        <w:t>Bourdieu</w:t>
      </w:r>
      <w:r w:rsidR="00F20A61">
        <w:t xml:space="preserve"> (1986)</w:t>
      </w:r>
      <w:r w:rsidR="00C82D6A">
        <w:t xml:space="preserve">, Foucault </w:t>
      </w:r>
      <w:r w:rsidR="0051065F">
        <w:t xml:space="preserve">(1988) </w:t>
      </w:r>
      <w:r w:rsidR="00C82D6A">
        <w:t xml:space="preserve">and the broader field of poststructuralism. </w:t>
      </w:r>
      <w:r w:rsidR="00F20A61">
        <w:t xml:space="preserve">These theories have been particularly useful in theorising adult education because they </w:t>
      </w:r>
      <w:r w:rsidR="007C2E68">
        <w:t xml:space="preserve">address the interrelated issues of power </w:t>
      </w:r>
      <w:r>
        <w:t xml:space="preserve">and knowledge </w:t>
      </w:r>
      <w:r w:rsidR="007C2E68">
        <w:t xml:space="preserve">and the </w:t>
      </w:r>
      <w:r>
        <w:t xml:space="preserve">role of </w:t>
      </w:r>
      <w:r w:rsidR="007C2E68">
        <w:t>different forms</w:t>
      </w:r>
      <w:r>
        <w:t xml:space="preserve"> of</w:t>
      </w:r>
      <w:r w:rsidR="007C2E68">
        <w:t xml:space="preserve"> capital. </w:t>
      </w:r>
      <w:r w:rsidR="00C82D6A">
        <w:t xml:space="preserve">While Foucault </w:t>
      </w:r>
      <w:r w:rsidR="00B36FB7">
        <w:t>(1988</w:t>
      </w:r>
      <w:r w:rsidR="00F20A61">
        <w:t xml:space="preserve">) </w:t>
      </w:r>
      <w:r w:rsidR="00C82D6A">
        <w:t xml:space="preserve">sees power as ‘ubiquitous’ and beyond agency or structure, Bourdieu </w:t>
      </w:r>
      <w:r>
        <w:t xml:space="preserve">(1986) </w:t>
      </w:r>
      <w:r w:rsidR="00C82D6A">
        <w:t xml:space="preserve">sees power as culturally and symbolically created, and constantly re-legitimised through </w:t>
      </w:r>
      <w:r w:rsidR="00486895">
        <w:t>the</w:t>
      </w:r>
      <w:r w:rsidR="00C82D6A">
        <w:t xml:space="preserve"> int</w:t>
      </w:r>
      <w:r w:rsidR="00486895">
        <w:t>erplay of agency and structure</w:t>
      </w:r>
      <w:r w:rsidR="00C82D6A">
        <w:t xml:space="preserve"> through </w:t>
      </w:r>
      <w:r w:rsidR="00486895">
        <w:t>‘habitus’:</w:t>
      </w:r>
      <w:r w:rsidR="00C82D6A">
        <w:t xml:space="preserve"> socialised norms or tendencies that guide </w:t>
      </w:r>
      <w:r w:rsidR="007C2E68">
        <w:t xml:space="preserve">human </w:t>
      </w:r>
      <w:r w:rsidR="00C82D6A">
        <w:t>behaviour and thinking</w:t>
      </w:r>
      <w:r w:rsidR="00486895">
        <w:t xml:space="preserve">. </w:t>
      </w:r>
      <w:r w:rsidR="00C82D6A">
        <w:t xml:space="preserve">Habitus </w:t>
      </w:r>
      <w:r w:rsidR="00486895">
        <w:t>is of particular theoretical rele</w:t>
      </w:r>
      <w:r w:rsidR="00085AFE">
        <w:t>vance in the context of a paper</w:t>
      </w:r>
      <w:r w:rsidR="007C2E68">
        <w:t xml:space="preserve"> about men learning through life</w:t>
      </w:r>
      <w:r w:rsidR="00486895">
        <w:t xml:space="preserve">, given it </w:t>
      </w:r>
      <w:r w:rsidR="00C82D6A">
        <w:t>is created through a social, rather than individual process</w:t>
      </w:r>
      <w:r w:rsidR="0051065F">
        <w:t>,</w:t>
      </w:r>
      <w:r w:rsidR="00C82D6A">
        <w:t xml:space="preserve"> leading to patterns that are enduring and transferrable from one context to another, but that </w:t>
      </w:r>
      <w:r w:rsidR="007C2E68">
        <w:t xml:space="preserve">can </w:t>
      </w:r>
      <w:r w:rsidR="00C82D6A">
        <w:t xml:space="preserve">also shift in relation to specific contexts and over time. </w:t>
      </w:r>
      <w:r w:rsidR="004974FF">
        <w:t>Nevertheless h</w:t>
      </w:r>
      <w:r w:rsidR="00C82D6A">
        <w:t>abitus ‘is not fixed or permanent, and can be changed under unexpected situations or over a long historical period’ (Navarro</w:t>
      </w:r>
      <w:r w:rsidR="007C2E68">
        <w:t>, 2006, p.</w:t>
      </w:r>
      <w:r w:rsidR="00CD6748">
        <w:t xml:space="preserve"> </w:t>
      </w:r>
      <w:r w:rsidR="007C2E68">
        <w:t>16).</w:t>
      </w:r>
    </w:p>
    <w:p w:rsidR="003E2691" w:rsidRDefault="003E2691" w:rsidP="006B33A6">
      <w:pPr>
        <w:spacing w:before="120" w:after="120"/>
      </w:pPr>
    </w:p>
    <w:p w:rsidR="003235DD" w:rsidRDefault="00BF47C0" w:rsidP="006B33A6">
      <w:pPr>
        <w:spacing w:before="120" w:after="120"/>
        <w:rPr>
          <w:i/>
        </w:rPr>
      </w:pPr>
      <w:r>
        <w:rPr>
          <w:i/>
        </w:rPr>
        <w:t xml:space="preserve">Delineating the research </w:t>
      </w:r>
      <w:r w:rsidR="00557FF5">
        <w:rPr>
          <w:i/>
        </w:rPr>
        <w:t>f</w:t>
      </w:r>
      <w:r w:rsidR="003E2691" w:rsidRPr="003E2691">
        <w:rPr>
          <w:i/>
        </w:rPr>
        <w:t>ield</w:t>
      </w:r>
    </w:p>
    <w:p w:rsidR="005601F0" w:rsidRPr="003E2691" w:rsidRDefault="005601F0" w:rsidP="006B33A6">
      <w:pPr>
        <w:spacing w:before="120" w:after="120"/>
        <w:rPr>
          <w:i/>
        </w:rPr>
      </w:pPr>
    </w:p>
    <w:p w:rsidR="006A2E2C" w:rsidRDefault="00105447" w:rsidP="003E2691">
      <w:pPr>
        <w:spacing w:before="120" w:after="120"/>
      </w:pPr>
      <w:r>
        <w:t>Much</w:t>
      </w:r>
      <w:r w:rsidR="003E2691">
        <w:t xml:space="preserve"> </w:t>
      </w:r>
      <w:r w:rsidR="005601F0">
        <w:t>literature</w:t>
      </w:r>
      <w:r w:rsidR="0003580A">
        <w:t>, research</w:t>
      </w:r>
      <w:r w:rsidR="005601F0">
        <w:t xml:space="preserve"> </w:t>
      </w:r>
      <w:r w:rsidR="003E2691">
        <w:t xml:space="preserve">and policy </w:t>
      </w:r>
      <w:r w:rsidR="005601F0">
        <w:t xml:space="preserve">on education </w:t>
      </w:r>
      <w:r w:rsidR="0003580A">
        <w:t xml:space="preserve">for adults available </w:t>
      </w:r>
      <w:r w:rsidR="00085AFE">
        <w:t xml:space="preserve">to Anglophone speakers </w:t>
      </w:r>
      <w:r w:rsidR="0003580A">
        <w:t xml:space="preserve">is written in English and from Western </w:t>
      </w:r>
      <w:r w:rsidR="00566F20">
        <w:t>liberal democracies</w:t>
      </w:r>
      <w:r w:rsidR="0003580A">
        <w:t>. It i</w:t>
      </w:r>
      <w:r>
        <w:t xml:space="preserve">s </w:t>
      </w:r>
      <w:r w:rsidR="003E2691">
        <w:t xml:space="preserve">focused on </w:t>
      </w:r>
      <w:r>
        <w:t>the initial acquisition of formal educational skills and qualifications primarily for economic and employment purposes</w:t>
      </w:r>
      <w:r w:rsidR="0051065F">
        <w:t>. T</w:t>
      </w:r>
      <w:r w:rsidR="00D36862">
        <w:t>his is particularly relevant today in the neoliberal political setting</w:t>
      </w:r>
      <w:r w:rsidR="00085AFE">
        <w:t>. My specific interest in this paper</w:t>
      </w:r>
      <w:r>
        <w:t xml:space="preserve"> is in the broader value of men’s informal and lifelong learning </w:t>
      </w:r>
      <w:r w:rsidR="006242D7">
        <w:t xml:space="preserve">including </w:t>
      </w:r>
      <w:r>
        <w:t>for other purposes</w:t>
      </w:r>
      <w:r w:rsidR="006B455F">
        <w:t xml:space="preserve"> and across the life course</w:t>
      </w:r>
      <w:r>
        <w:t>. Using Pollard’s (2010</w:t>
      </w:r>
      <w:r w:rsidR="0021338C">
        <w:t>, p.</w:t>
      </w:r>
      <w:r w:rsidR="00CD6748">
        <w:t xml:space="preserve"> </w:t>
      </w:r>
      <w:r w:rsidR="0021338C">
        <w:t>362</w:t>
      </w:r>
      <w:r>
        <w:t>) typology,</w:t>
      </w:r>
      <w:r w:rsidR="00085AFE">
        <w:t xml:space="preserve"> my</w:t>
      </w:r>
      <w:r w:rsidR="00A85580">
        <w:t xml:space="preserve"> interest goes </w:t>
      </w:r>
      <w:r w:rsidR="00BF47C0">
        <w:t>mainly to</w:t>
      </w:r>
      <w:r>
        <w:t xml:space="preserve"> the </w:t>
      </w:r>
      <w:r w:rsidR="0021338C">
        <w:t xml:space="preserve">second and </w:t>
      </w:r>
      <w:r>
        <w:t>third strand</w:t>
      </w:r>
      <w:r w:rsidR="0021338C">
        <w:t>s</w:t>
      </w:r>
      <w:r>
        <w:t xml:space="preserve"> of philosophical and political thinking on educational purposes</w:t>
      </w:r>
      <w:r w:rsidR="0021338C">
        <w:t xml:space="preserve"> to be found in c</w:t>
      </w:r>
      <w:r w:rsidR="00811505">
        <w:t>ontemporary Western democracies</w:t>
      </w:r>
      <w:r w:rsidR="0021338C">
        <w:t xml:space="preserve"> that </w:t>
      </w:r>
      <w:r w:rsidR="00D36862">
        <w:t xml:space="preserve">are </w:t>
      </w:r>
      <w:r w:rsidR="0021338C">
        <w:t>essentially concern</w:t>
      </w:r>
      <w:r w:rsidR="00D36862">
        <w:t>ed with</w:t>
      </w:r>
      <w:r w:rsidR="0021338C">
        <w:t xml:space="preserve"> social cohesion and inclusion, as well as wellbeing</w:t>
      </w:r>
      <w:r w:rsidR="006242D7">
        <w:t xml:space="preserve"> respectively</w:t>
      </w:r>
      <w:r w:rsidR="00A85580">
        <w:t>.</w:t>
      </w:r>
      <w:r w:rsidR="0021338C">
        <w:t xml:space="preserve"> </w:t>
      </w:r>
      <w:r w:rsidR="00A85580">
        <w:t xml:space="preserve">Our particular </w:t>
      </w:r>
      <w:r w:rsidR="00BF47C0">
        <w:t>concern is that</w:t>
      </w:r>
      <w:r w:rsidR="00A85580">
        <w:t xml:space="preserve"> </w:t>
      </w:r>
      <w:r w:rsidR="009550BE">
        <w:t>the first strand</w:t>
      </w:r>
      <w:r w:rsidR="0051065F">
        <w:t xml:space="preserve"> </w:t>
      </w:r>
      <w:r w:rsidR="006242D7">
        <w:t>tends to see</w:t>
      </w:r>
      <w:r w:rsidR="009550BE">
        <w:t xml:space="preserve"> </w:t>
      </w:r>
      <w:r w:rsidR="0021338C">
        <w:t xml:space="preserve">teaching and learning linked </w:t>
      </w:r>
      <w:r w:rsidR="009550BE">
        <w:t>mainly or</w:t>
      </w:r>
      <w:r w:rsidR="0021338C">
        <w:t xml:space="preserve"> </w:t>
      </w:r>
      <w:r w:rsidR="009550BE">
        <w:t xml:space="preserve">solely to </w:t>
      </w:r>
      <w:r w:rsidR="0021338C">
        <w:t>economic product</w:t>
      </w:r>
      <w:r w:rsidR="00377F39">
        <w:t>ivity. W</w:t>
      </w:r>
      <w:r w:rsidR="00BF47C0">
        <w:t>hile seductive in policy terms</w:t>
      </w:r>
      <w:r w:rsidR="0051065F">
        <w:t>,</w:t>
      </w:r>
      <w:r w:rsidR="00BF47C0">
        <w:t xml:space="preserve"> </w:t>
      </w:r>
      <w:r w:rsidR="00377F39">
        <w:t xml:space="preserve">this </w:t>
      </w:r>
      <w:r w:rsidR="00BF47C0">
        <w:t>is only a very partial view of the wider benefits of learning.</w:t>
      </w:r>
    </w:p>
    <w:p w:rsidR="009550BE" w:rsidRDefault="009550BE" w:rsidP="003E2691">
      <w:pPr>
        <w:spacing w:before="120" w:after="120"/>
      </w:pPr>
    </w:p>
    <w:p w:rsidR="006A2E2C" w:rsidRDefault="00085AFE" w:rsidP="003E2691">
      <w:pPr>
        <w:spacing w:before="120" w:after="120"/>
      </w:pPr>
      <w:r>
        <w:t>While I</w:t>
      </w:r>
      <w:r w:rsidR="0021338C">
        <w:t xml:space="preserve"> acknowledge</w:t>
      </w:r>
      <w:r w:rsidR="009550BE">
        <w:t>, with Pollard</w:t>
      </w:r>
      <w:r w:rsidR="00377F39">
        <w:t xml:space="preserve"> (2010)</w:t>
      </w:r>
      <w:r w:rsidR="009550BE">
        <w:t>,</w:t>
      </w:r>
      <w:r w:rsidR="0021338C">
        <w:t xml:space="preserve"> </w:t>
      </w:r>
      <w:r w:rsidR="009550BE">
        <w:t>that the three strands are ‘deeply interconnected’ (p.</w:t>
      </w:r>
      <w:r w:rsidR="00CD6748">
        <w:t xml:space="preserve"> </w:t>
      </w:r>
      <w:r w:rsidR="009550BE">
        <w:t>362), and accept that there is a persistent correlation between school and post-school educational success and em</w:t>
      </w:r>
      <w:r>
        <w:t>ployment, like Gorard (2010) I am</w:t>
      </w:r>
      <w:r w:rsidR="009550BE">
        <w:t xml:space="preserve"> more concerned about the p</w:t>
      </w:r>
      <w:r w:rsidR="003B0307">
        <w:t>ersistent flipside for some men. That is</w:t>
      </w:r>
      <w:r w:rsidR="009550BE">
        <w:t xml:space="preserve"> that lack of success in learning is typically correlated with increasing difficulties through life, in and beyond paid work, and that many of these </w:t>
      </w:r>
      <w:r w:rsidR="003B0307">
        <w:t xml:space="preserve">difficulties are closely related to family background and where </w:t>
      </w:r>
      <w:r w:rsidR="006242D7">
        <w:t>and wh</w:t>
      </w:r>
      <w:r>
        <w:t>en people are born. Further, my</w:t>
      </w:r>
      <w:r w:rsidR="006242D7">
        <w:t xml:space="preserve"> concern is that many of these difficulties go well beyond the individual and can become intergenerational and familial. </w:t>
      </w:r>
    </w:p>
    <w:p w:rsidR="00996869" w:rsidRDefault="00996869" w:rsidP="003E2691">
      <w:pPr>
        <w:spacing w:before="120" w:after="120"/>
      </w:pPr>
    </w:p>
    <w:p w:rsidR="00D9155F" w:rsidRDefault="00085AFE" w:rsidP="003E2691">
      <w:pPr>
        <w:spacing w:before="120" w:after="120"/>
      </w:pPr>
      <w:r>
        <w:t>My main</w:t>
      </w:r>
      <w:r w:rsidR="00D9155F">
        <w:t xml:space="preserve"> concern in this </w:t>
      </w:r>
      <w:r>
        <w:t>paper</w:t>
      </w:r>
      <w:r w:rsidR="00D9155F">
        <w:t xml:space="preserve"> is to avoid </w:t>
      </w:r>
      <w:r w:rsidR="000A2386">
        <w:t xml:space="preserve">repeating </w:t>
      </w:r>
      <w:r w:rsidR="00D9155F">
        <w:t>what scho</w:t>
      </w:r>
      <w:r w:rsidR="00996869">
        <w:t>ols and post</w:t>
      </w:r>
      <w:r w:rsidR="007B53BC">
        <w:t>-</w:t>
      </w:r>
      <w:r w:rsidR="00996869">
        <w:t xml:space="preserve">school educational </w:t>
      </w:r>
      <w:r w:rsidR="00D9155F">
        <w:t xml:space="preserve">institutions and governments do, by </w:t>
      </w:r>
      <w:r w:rsidR="006242D7">
        <w:t>simplistically li</w:t>
      </w:r>
      <w:r w:rsidR="00996869">
        <w:t>n</w:t>
      </w:r>
      <w:r w:rsidR="006242D7">
        <w:t>king</w:t>
      </w:r>
      <w:r w:rsidR="00996869">
        <w:t xml:space="preserve"> </w:t>
      </w:r>
      <w:r w:rsidR="00D9155F">
        <w:t xml:space="preserve">and promoting </w:t>
      </w:r>
      <w:r w:rsidR="00996869">
        <w:t>educational</w:t>
      </w:r>
      <w:r w:rsidR="00D9155F">
        <w:t xml:space="preserve"> qualifications and employment </w:t>
      </w:r>
      <w:r w:rsidR="00377F39">
        <w:t xml:space="preserve">for men </w:t>
      </w:r>
      <w:r w:rsidR="00D9155F">
        <w:t>because of</w:t>
      </w:r>
      <w:r w:rsidR="00996869">
        <w:t xml:space="preserve"> persistent statistical correlations</w:t>
      </w:r>
      <w:r w:rsidR="00D9155F">
        <w:t>, without acknowl</w:t>
      </w:r>
      <w:r w:rsidR="000A2386">
        <w:t>edging the underlying inequity</w:t>
      </w:r>
      <w:r w:rsidR="00D9155F">
        <w:t xml:space="preserve"> of using </w:t>
      </w:r>
      <w:r w:rsidR="000A2386">
        <w:t xml:space="preserve">and promoting </w:t>
      </w:r>
      <w:r w:rsidR="000A2386">
        <w:lastRenderedPageBreak/>
        <w:t>prior education as the main or only</w:t>
      </w:r>
      <w:r w:rsidR="00D9155F">
        <w:t xml:space="preserve"> variable for selection to employment</w:t>
      </w:r>
      <w:r w:rsidR="00996869">
        <w:t>. As Gorard (2010) puts it</w:t>
      </w:r>
      <w:r w:rsidR="00D9155F">
        <w:t>,</w:t>
      </w:r>
      <w:r w:rsidR="00996869">
        <w:t xml:space="preserve"> when we take a life</w:t>
      </w:r>
      <w:r w:rsidR="009B4643">
        <w:t xml:space="preserve"> </w:t>
      </w:r>
      <w:r w:rsidR="00996869">
        <w:t>course view, qualifications, rather than being a causative agent</w:t>
      </w:r>
      <w:r w:rsidR="00B94ED9">
        <w:t>,</w:t>
      </w:r>
      <w:r w:rsidR="00996869">
        <w:t xml:space="preserve"> can alternatively be seen as ‘a substitute variable summing up the prior individual, economic social and economic determinants of</w:t>
      </w:r>
      <w:r w:rsidR="00377F39">
        <w:t xml:space="preserve"> ‘success’ at school and beyond</w:t>
      </w:r>
      <w:r w:rsidR="00996869">
        <w:t>’ (p.</w:t>
      </w:r>
      <w:r w:rsidR="00CD6748">
        <w:t xml:space="preserve"> </w:t>
      </w:r>
      <w:r w:rsidR="00996869">
        <w:t>359).</w:t>
      </w:r>
      <w:r w:rsidR="00377F39">
        <w:t xml:space="preserve"> As Gorard concludes:</w:t>
      </w:r>
    </w:p>
    <w:p w:rsidR="00D9155F" w:rsidRPr="000A2386" w:rsidRDefault="00D9155F" w:rsidP="000A2386">
      <w:pPr>
        <w:spacing w:before="120" w:after="120"/>
        <w:ind w:left="567"/>
        <w:rPr>
          <w:sz w:val="22"/>
        </w:rPr>
      </w:pPr>
      <w:r w:rsidRPr="000A2386">
        <w:rPr>
          <w:sz w:val="22"/>
        </w:rPr>
        <w:t>Educators do not select their potential students, nor employers their employees</w:t>
      </w:r>
      <w:r w:rsidR="000A2386">
        <w:rPr>
          <w:sz w:val="22"/>
        </w:rPr>
        <w:t>,</w:t>
      </w:r>
      <w:r w:rsidRPr="000A2386">
        <w:rPr>
          <w:sz w:val="22"/>
        </w:rPr>
        <w:t xml:space="preserve"> on the basis of their socio-economic status, ethnicity or age, as this is both unfair and illegal. However</w:t>
      </w:r>
      <w:r w:rsidR="000A2386">
        <w:rPr>
          <w:sz w:val="22"/>
        </w:rPr>
        <w:t>,</w:t>
      </w:r>
      <w:r w:rsidRPr="000A2386">
        <w:rPr>
          <w:sz w:val="22"/>
        </w:rPr>
        <w:t xml:space="preserve"> they do select them on the basis of a substitute variable – prior education</w:t>
      </w:r>
      <w:r w:rsidR="000A2386" w:rsidRPr="000A2386">
        <w:rPr>
          <w:sz w:val="22"/>
        </w:rPr>
        <w:t xml:space="preserve"> – that sums up, and is very heavily correlated with, such background factors. What is the sense in that? (</w:t>
      </w:r>
      <w:r w:rsidR="00B36FB7">
        <w:rPr>
          <w:sz w:val="22"/>
        </w:rPr>
        <w:t>Gorard, 2010, p.</w:t>
      </w:r>
      <w:r w:rsidR="00CD6748">
        <w:rPr>
          <w:sz w:val="22"/>
        </w:rPr>
        <w:t xml:space="preserve"> </w:t>
      </w:r>
      <w:r w:rsidR="00B36FB7">
        <w:rPr>
          <w:sz w:val="22"/>
        </w:rPr>
        <w:t>358)</w:t>
      </w:r>
    </w:p>
    <w:p w:rsidR="0021338C" w:rsidRDefault="0021338C" w:rsidP="003E2691">
      <w:pPr>
        <w:spacing w:before="120" w:after="120"/>
      </w:pPr>
    </w:p>
    <w:p w:rsidR="006A2E2C" w:rsidRDefault="00D9155F" w:rsidP="003E2691">
      <w:pPr>
        <w:spacing w:before="120" w:after="120"/>
      </w:pPr>
      <w:r>
        <w:t>Much educational discourse is</w:t>
      </w:r>
      <w:r w:rsidR="003E2691">
        <w:t xml:space="preserve"> premised on the idea that access can be universalised and participation maximised if </w:t>
      </w:r>
      <w:r w:rsidR="000A2386">
        <w:t xml:space="preserve">young people and </w:t>
      </w:r>
      <w:r w:rsidR="003E2691">
        <w:t xml:space="preserve">adults can somehow be encouraged </w:t>
      </w:r>
      <w:r w:rsidR="004305B7">
        <w:t xml:space="preserve">to overcome </w:t>
      </w:r>
      <w:r w:rsidR="00C42CE1">
        <w:t xml:space="preserve">impediments or </w:t>
      </w:r>
      <w:r w:rsidR="003E2691">
        <w:t>‘barriers’</w:t>
      </w:r>
      <w:r w:rsidR="00C42CE1">
        <w:t xml:space="preserve"> to the </w:t>
      </w:r>
      <w:r w:rsidR="003235DD">
        <w:t>desirable</w:t>
      </w:r>
      <w:r w:rsidR="00C42CE1">
        <w:t xml:space="preserve"> education on </w:t>
      </w:r>
      <w:r w:rsidR="0051065F">
        <w:t>‘</w:t>
      </w:r>
      <w:r w:rsidR="00C42CE1">
        <w:t>the other side</w:t>
      </w:r>
      <w:r w:rsidR="0051065F">
        <w:t>’</w:t>
      </w:r>
      <w:r w:rsidR="003E2691">
        <w:t>. Gorard’s (2010) scathing critique of ‘barriers to learning’ is a good starting point in a critical examination of men’s learning.</w:t>
      </w:r>
      <w:r w:rsidR="00C42CE1">
        <w:t xml:space="preserve"> Gorard uses UK data to show that</w:t>
      </w:r>
      <w:r w:rsidR="003235DD">
        <w:t xml:space="preserve"> once family background, sex and age are accounted for, ‘none of the measurable variables in adult life makes any difference to the quality of the predictions’ (p.</w:t>
      </w:r>
      <w:r w:rsidR="00CD6748">
        <w:t xml:space="preserve"> </w:t>
      </w:r>
      <w:r w:rsidR="003235DD">
        <w:t>357) about adult participation in learning. Gorard</w:t>
      </w:r>
      <w:r w:rsidR="00C42CE1">
        <w:t xml:space="preserve"> concludes that ‘We need to revise our complacency that the existing set-up for learning is appropriate for all, and that the reluctant learner need only be lured back ‘on track’ (p.</w:t>
      </w:r>
      <w:r w:rsidR="00CD6748">
        <w:t xml:space="preserve"> </w:t>
      </w:r>
      <w:r w:rsidR="00C42CE1">
        <w:t>357). Indeed</w:t>
      </w:r>
      <w:r w:rsidR="007B53BC">
        <w:t>,</w:t>
      </w:r>
      <w:r w:rsidR="00C42CE1">
        <w:t xml:space="preserve"> most adult non-participants in formal learning are not put off by barriers, ‘but by their lack of interest in something that seems alien and imposed by others</w:t>
      </w:r>
      <w:r w:rsidR="003235DD">
        <w:t>’ (</w:t>
      </w:r>
      <w:r w:rsidR="00C42CE1">
        <w:t>Gorard, 2010, p.</w:t>
      </w:r>
      <w:r w:rsidR="00CD6748">
        <w:t xml:space="preserve"> </w:t>
      </w:r>
      <w:r w:rsidR="00C42CE1">
        <w:t>357)</w:t>
      </w:r>
      <w:r w:rsidR="003235DD">
        <w:t>.</w:t>
      </w:r>
    </w:p>
    <w:p w:rsidR="00AE3638" w:rsidRDefault="00AE3638" w:rsidP="003E2691">
      <w:pPr>
        <w:spacing w:before="120" w:after="120"/>
      </w:pPr>
    </w:p>
    <w:p w:rsidR="002A6840" w:rsidRDefault="00AE3638" w:rsidP="003E2691">
      <w:pPr>
        <w:spacing w:before="120" w:after="120"/>
      </w:pPr>
      <w:r>
        <w:t>A useful way of perceiving barriers</w:t>
      </w:r>
      <w:r w:rsidR="0051065F">
        <w:t>,</w:t>
      </w:r>
      <w:r w:rsidR="00085AFE">
        <w:t xml:space="preserve"> in the context of this paper</w:t>
      </w:r>
      <w:r>
        <w:t xml:space="preserve"> is </w:t>
      </w:r>
      <w:r w:rsidR="007B53BC">
        <w:t xml:space="preserve">to </w:t>
      </w:r>
      <w:r>
        <w:t xml:space="preserve">acknowledge </w:t>
      </w:r>
      <w:r w:rsidR="007B53BC">
        <w:t xml:space="preserve">that </w:t>
      </w:r>
      <w:r>
        <w:t>there are factors beyond the contextual, institutional, informational, situational and personal/dispositional barriers identified by Cross</w:t>
      </w:r>
      <w:r w:rsidR="001A5410">
        <w:t xml:space="preserve"> (1981), </w:t>
      </w:r>
      <w:r>
        <w:t>elaborated by WRC (2003) and Bailey and Coleman (1998)</w:t>
      </w:r>
      <w:r w:rsidR="0051065F">
        <w:t>,</w:t>
      </w:r>
      <w:r w:rsidR="001A5410">
        <w:t xml:space="preserve"> and </w:t>
      </w:r>
      <w:r w:rsidR="00377F39">
        <w:t xml:space="preserve">summarised </w:t>
      </w:r>
      <w:r>
        <w:t>TSA (2009, p</w:t>
      </w:r>
      <w:r w:rsidR="00B36FB7">
        <w:t>.</w:t>
      </w:r>
      <w:r w:rsidR="00CD6748">
        <w:t xml:space="preserve"> </w:t>
      </w:r>
      <w:r>
        <w:t>20) in the NALA Irish men’s learning study</w:t>
      </w:r>
      <w:r w:rsidR="001A5410">
        <w:t xml:space="preserve">. It is the closely related </w:t>
      </w:r>
      <w:r>
        <w:t>three personal and dispositional barriers identified by Corridan</w:t>
      </w:r>
      <w:r w:rsidR="001A5410">
        <w:t xml:space="preserve"> (2002) which emerge in most recent research to do with men’s learning related to socially excluded men. The first is the accumulation of </w:t>
      </w:r>
      <w:r w:rsidR="00FA4085">
        <w:t>often-negative</w:t>
      </w:r>
      <w:r w:rsidR="001A5410">
        <w:t xml:space="preserve"> early school </w:t>
      </w:r>
      <w:r w:rsidR="001405F9">
        <w:t>experiences that</w:t>
      </w:r>
      <w:r w:rsidR="001A5410">
        <w:t xml:space="preserve"> other forms of learning come to be negatively associated with through</w:t>
      </w:r>
      <w:r w:rsidR="00377F39">
        <w:t>out</w:t>
      </w:r>
      <w:r w:rsidR="001A5410">
        <w:t xml:space="preserve"> life. The second is the embarrassment</w:t>
      </w:r>
      <w:r w:rsidR="00377F39">
        <w:t xml:space="preserve"> and</w:t>
      </w:r>
      <w:r w:rsidR="0051065F">
        <w:t xml:space="preserve"> shame that some men experience</w:t>
      </w:r>
      <w:r w:rsidR="00377F39">
        <w:t xml:space="preserve"> </w:t>
      </w:r>
      <w:r w:rsidR="001A5410">
        <w:t>associated with literacy and learning difficulties in more formal educational context</w:t>
      </w:r>
      <w:r w:rsidR="00377F39">
        <w:t>s</w:t>
      </w:r>
      <w:r w:rsidR="001A5410">
        <w:t>. The third is the male culture of ridicule about pursuing something like learning</w:t>
      </w:r>
      <w:r w:rsidR="0051065F">
        <w:t>,</w:t>
      </w:r>
      <w:r w:rsidR="001A5410">
        <w:t xml:space="preserve"> which some male peers regard as inappropriate and not masculine</w:t>
      </w:r>
      <w:r w:rsidR="002A6840">
        <w:t>. At worst, what</w:t>
      </w:r>
      <w:r w:rsidR="00E375B0">
        <w:t xml:space="preserve"> </w:t>
      </w:r>
      <w:r w:rsidR="007B53BC">
        <w:t xml:space="preserve">some </w:t>
      </w:r>
      <w:r w:rsidR="002A6840">
        <w:t>men can and do experience in some educational contexts is neatly summarised from Owens’ (2000) research in TSA (2009, p.</w:t>
      </w:r>
      <w:r w:rsidR="00CD6748">
        <w:t xml:space="preserve"> </w:t>
      </w:r>
      <w:r w:rsidR="002A6840">
        <w:t>21) as</w:t>
      </w:r>
    </w:p>
    <w:p w:rsidR="00811505" w:rsidRPr="002A6840" w:rsidRDefault="002A6840" w:rsidP="002A6840">
      <w:pPr>
        <w:spacing w:before="120" w:after="120"/>
        <w:ind w:left="567"/>
        <w:rPr>
          <w:sz w:val="22"/>
        </w:rPr>
      </w:pPr>
      <w:r>
        <w:rPr>
          <w:sz w:val="22"/>
        </w:rPr>
        <w:t xml:space="preserve">… </w:t>
      </w:r>
      <w:r w:rsidRPr="002A6840">
        <w:rPr>
          <w:sz w:val="22"/>
        </w:rPr>
        <w:t>a deeply internalised sense of powerlessness experienced by men, which is rooted i</w:t>
      </w:r>
      <w:r w:rsidR="00377F39">
        <w:rPr>
          <w:sz w:val="22"/>
        </w:rPr>
        <w:t xml:space="preserve">n early school experiences and </w:t>
      </w:r>
      <w:r w:rsidRPr="002A6840">
        <w:rPr>
          <w:sz w:val="22"/>
        </w:rPr>
        <w:t xml:space="preserve">in </w:t>
      </w:r>
      <w:r w:rsidR="00377F39">
        <w:rPr>
          <w:sz w:val="22"/>
        </w:rPr>
        <w:t>the wider cultural milieu where</w:t>
      </w:r>
      <w:r w:rsidRPr="002A6840">
        <w:rPr>
          <w:sz w:val="22"/>
        </w:rPr>
        <w:t>in the dominant ideologies of the social order and masculinity dictate one’s way of perceiving and being in the world</w:t>
      </w:r>
      <w:r w:rsidR="007B53BC">
        <w:rPr>
          <w:sz w:val="22"/>
        </w:rPr>
        <w:t>.</w:t>
      </w:r>
    </w:p>
    <w:p w:rsidR="0003580A" w:rsidRDefault="0003580A" w:rsidP="003E2691">
      <w:pPr>
        <w:spacing w:before="120" w:after="120"/>
      </w:pPr>
    </w:p>
    <w:p w:rsidR="0003580A" w:rsidRPr="00085AFE" w:rsidRDefault="0003580A" w:rsidP="003E2691">
      <w:pPr>
        <w:spacing w:before="120" w:after="120"/>
        <w:rPr>
          <w:i/>
        </w:rPr>
      </w:pPr>
      <w:r w:rsidRPr="00085AFE">
        <w:rPr>
          <w:i/>
        </w:rPr>
        <w:t>What has boys’ underachievement got to do with all of this?</w:t>
      </w:r>
    </w:p>
    <w:p w:rsidR="0003580A" w:rsidRDefault="0003580A" w:rsidP="003E2691">
      <w:pPr>
        <w:spacing w:before="120" w:after="120"/>
      </w:pPr>
    </w:p>
    <w:p w:rsidR="006A2E2C" w:rsidRDefault="0003580A" w:rsidP="003E2691">
      <w:pPr>
        <w:spacing w:before="120" w:after="120"/>
      </w:pPr>
      <w:r>
        <w:lastRenderedPageBreak/>
        <w:t>Fa</w:t>
      </w:r>
      <w:r w:rsidR="00085AFE">
        <w:t>ctoring boys’ education into the</w:t>
      </w:r>
      <w:r w:rsidR="00137355">
        <w:t xml:space="preserve"> discussion is essential for three</w:t>
      </w:r>
      <w:r>
        <w:t xml:space="preserve"> main reasons. The first is th</w:t>
      </w:r>
      <w:r w:rsidR="0051065F">
        <w:t>at all men were once boys. T</w:t>
      </w:r>
      <w:r>
        <w:t xml:space="preserve">he second is that most men go on to become </w:t>
      </w:r>
      <w:r w:rsidR="00624454">
        <w:t xml:space="preserve">role models as </w:t>
      </w:r>
      <w:r>
        <w:t>fathers and later grandfathers, including to boys</w:t>
      </w:r>
      <w:r w:rsidR="00375B21">
        <w:t>.</w:t>
      </w:r>
      <w:r w:rsidR="00137355">
        <w:t xml:space="preserve"> The th</w:t>
      </w:r>
      <w:r w:rsidR="00624454">
        <w:t>ird reason has to do with a trend towards boys’ underachievement,</w:t>
      </w:r>
      <w:r w:rsidR="00137355">
        <w:t xml:space="preserve"> </w:t>
      </w:r>
      <w:r w:rsidR="00624454">
        <w:t xml:space="preserve">particularly </w:t>
      </w:r>
      <w:r w:rsidR="00137355">
        <w:t>in</w:t>
      </w:r>
      <w:r w:rsidR="00624454">
        <w:t xml:space="preserve"> areas of the world </w:t>
      </w:r>
      <w:r w:rsidR="000C3307">
        <w:t>that</w:t>
      </w:r>
      <w:r w:rsidR="00624454">
        <w:t xml:space="preserve"> have experienced higher growth in educational attainment rates (Jha &amp; Kelleher, 2006, p.</w:t>
      </w:r>
      <w:r w:rsidR="00CD6748">
        <w:t xml:space="preserve"> </w:t>
      </w:r>
      <w:r w:rsidR="00624454">
        <w:t>5). I</w:t>
      </w:r>
      <w:r w:rsidR="00137355">
        <w:t>nternationally</w:t>
      </w:r>
      <w:r w:rsidR="005F54D7">
        <w:t>, the data</w:t>
      </w:r>
      <w:r w:rsidR="00F96CEE">
        <w:t>,</w:t>
      </w:r>
      <w:r w:rsidR="005F54D7">
        <w:t xml:space="preserve"> while</w:t>
      </w:r>
      <w:r w:rsidR="00137355">
        <w:t xml:space="preserve"> i</w:t>
      </w:r>
      <w:r w:rsidR="005F54D7">
        <w:t xml:space="preserve">ntriguing are </w:t>
      </w:r>
      <w:r w:rsidR="00137355">
        <w:t>far from consis</w:t>
      </w:r>
      <w:r w:rsidR="00624454">
        <w:t>t</w:t>
      </w:r>
      <w:r w:rsidR="00137355">
        <w:t>ent. While girls (and women) remain significantly educationally disadvantaged in relation to boys (and men) in many world nations, particularly in Sub-Saharan Africa and the Arab States, in Latin America and the Caribbean</w:t>
      </w:r>
      <w:r w:rsidR="0051065F">
        <w:t>,</w:t>
      </w:r>
      <w:r w:rsidR="00137355">
        <w:t xml:space="preserve"> School Life Expectancy </w:t>
      </w:r>
      <w:r w:rsidR="0051065F">
        <w:t xml:space="preserve">data </w:t>
      </w:r>
      <w:r w:rsidR="00137355">
        <w:t>(SLE</w:t>
      </w:r>
      <w:r w:rsidR="00624454">
        <w:t>: the average number of years of schooling individuals can anticipate</w:t>
      </w:r>
      <w:r w:rsidR="00B94ED9">
        <w:t>)</w:t>
      </w:r>
      <w:r w:rsidR="0051065F">
        <w:t xml:space="preserve"> confirms that</w:t>
      </w:r>
      <w:r w:rsidR="00B94ED9">
        <w:t xml:space="preserve"> </w:t>
      </w:r>
      <w:r w:rsidR="00137355">
        <w:t>girls</w:t>
      </w:r>
      <w:r w:rsidR="00624454">
        <w:t xml:space="preserve"> exceed</w:t>
      </w:r>
      <w:r w:rsidR="00C82A5B">
        <w:t xml:space="preserve"> boys in educational access and educational success in many </w:t>
      </w:r>
      <w:r w:rsidR="00CD6748">
        <w:t>W</w:t>
      </w:r>
      <w:r w:rsidR="00B94ED9">
        <w:t>est</w:t>
      </w:r>
      <w:r w:rsidR="00C82A5B">
        <w:t>e</w:t>
      </w:r>
      <w:r w:rsidR="00CD6748">
        <w:t>r</w:t>
      </w:r>
      <w:r w:rsidR="00C82A5B">
        <w:t>n nations</w:t>
      </w:r>
      <w:r w:rsidR="00624454">
        <w:t xml:space="preserve"> (Jha &amp; Kelleher, Table 1, p.</w:t>
      </w:r>
      <w:r w:rsidR="00CD6748">
        <w:t xml:space="preserve"> </w:t>
      </w:r>
      <w:r w:rsidR="00624454">
        <w:t>5).</w:t>
      </w:r>
    </w:p>
    <w:p w:rsidR="00624454" w:rsidRDefault="00624454" w:rsidP="003E2691">
      <w:pPr>
        <w:spacing w:before="120" w:after="120"/>
      </w:pPr>
    </w:p>
    <w:p w:rsidR="006A2E2C" w:rsidRDefault="00624454" w:rsidP="003E2691">
      <w:pPr>
        <w:spacing w:before="120" w:after="120"/>
      </w:pPr>
      <w:r>
        <w:t xml:space="preserve">Debates around </w:t>
      </w:r>
      <w:r w:rsidR="009B4E64">
        <w:t xml:space="preserve">boy’s </w:t>
      </w:r>
      <w:r>
        <w:t xml:space="preserve">underachievement are plagued with </w:t>
      </w:r>
      <w:r w:rsidR="009B4E64">
        <w:t>‘</w:t>
      </w:r>
      <w:r>
        <w:t>three persistent myths</w:t>
      </w:r>
      <w:r w:rsidR="009B4E64">
        <w:t>’,</w:t>
      </w:r>
      <w:r>
        <w:t xml:space="preserve"> </w:t>
      </w:r>
      <w:r w:rsidR="009B4E64">
        <w:t>identified by and debunked by Jha and Kelleher (2006, pp.</w:t>
      </w:r>
      <w:r w:rsidR="00CD6748">
        <w:t xml:space="preserve"> </w:t>
      </w:r>
      <w:r w:rsidR="009B4E64">
        <w:t xml:space="preserve">xiii-iv) </w:t>
      </w:r>
      <w:r w:rsidR="00085AFE">
        <w:t xml:space="preserve">that I am </w:t>
      </w:r>
      <w:r>
        <w:t xml:space="preserve">keen not to </w:t>
      </w:r>
      <w:r w:rsidR="0022699F">
        <w:t>reinforce</w:t>
      </w:r>
      <w:r w:rsidR="0051065F">
        <w:t>,</w:t>
      </w:r>
      <w:r w:rsidR="0022699F">
        <w:t xml:space="preserve"> by extrapolation</w:t>
      </w:r>
      <w:r w:rsidR="0051065F">
        <w:t>,</w:t>
      </w:r>
      <w:r>
        <w:t xml:space="preserve"> into</w:t>
      </w:r>
      <w:r w:rsidR="009B4E64">
        <w:t xml:space="preserve"> </w:t>
      </w:r>
      <w:r w:rsidR="00085AFE">
        <w:t>my</w:t>
      </w:r>
      <w:r w:rsidR="009B4E64">
        <w:t xml:space="preserve"> own </w:t>
      </w:r>
      <w:r w:rsidR="00085AFE">
        <w:t>research</w:t>
      </w:r>
      <w:r w:rsidR="009B4E64">
        <w:t xml:space="preserve"> </w:t>
      </w:r>
      <w:r w:rsidR="00085AFE">
        <w:t>into</w:t>
      </w:r>
      <w:r w:rsidR="009B4E64">
        <w:t xml:space="preserve"> men. The first is that this is about ‘boys versus girls’. </w:t>
      </w:r>
      <w:r w:rsidR="005F54D7">
        <w:t>In fact it</w:t>
      </w:r>
      <w:r w:rsidR="009B4E64">
        <w:t xml:space="preserve"> is </w:t>
      </w:r>
      <w:r w:rsidR="005F54D7">
        <w:t>never</w:t>
      </w:r>
      <w:r w:rsidR="009B4E64">
        <w:t xml:space="preserve"> one or </w:t>
      </w:r>
      <w:r w:rsidR="0051065F">
        <w:t>the other. Indeed the UNDP (2002) Millennium Goals commit</w:t>
      </w:r>
      <w:r w:rsidR="009B4E64">
        <w:t xml:space="preserve"> signatory states to eliminating gender disparities in education in any direction. The second myth is that boys’ underachievement is a spinoff from a ‘war of the sexes’</w:t>
      </w:r>
      <w:r w:rsidR="0051065F">
        <w:t>,</w:t>
      </w:r>
      <w:r w:rsidR="009B4E64">
        <w:t xml:space="preserve"> and necessarily related to the gender of teachers. The third</w:t>
      </w:r>
      <w:r w:rsidR="005F54D7">
        <w:t xml:space="preserve"> is that boys’ achievement at</w:t>
      </w:r>
      <w:r w:rsidR="009B4E64">
        <w:t xml:space="preserve"> school should be measured against</w:t>
      </w:r>
      <w:r w:rsidR="005F54D7">
        <w:t xml:space="preserve"> that of girls’.</w:t>
      </w:r>
    </w:p>
    <w:p w:rsidR="005F54D7" w:rsidRDefault="005F54D7" w:rsidP="003E2691">
      <w:pPr>
        <w:spacing w:before="120" w:after="120"/>
      </w:pPr>
    </w:p>
    <w:p w:rsidR="006A2E2C" w:rsidRDefault="005F54D7" w:rsidP="003E2691">
      <w:pPr>
        <w:spacing w:before="120" w:after="120"/>
      </w:pPr>
      <w:r>
        <w:t>These myths aside, Jha and Kelleher (2006) trawled the literature then available and concluded that some of the causes of boys underachievement, particularly in languages and the humanities, were fairly universal, while some others were context specific (p.</w:t>
      </w:r>
      <w:r w:rsidR="00CD6748">
        <w:t xml:space="preserve"> </w:t>
      </w:r>
      <w:r>
        <w:t xml:space="preserve">39). </w:t>
      </w:r>
      <w:r w:rsidR="00F55782">
        <w:t>They stressed in advancing these causes that most societies are primarily patriarchal</w:t>
      </w:r>
      <w:r w:rsidR="0051065F">
        <w:t>,</w:t>
      </w:r>
      <w:r w:rsidR="00F55782">
        <w:t xml:space="preserve"> and that gender relations remain in favour of men in more than one way. </w:t>
      </w:r>
      <w:r w:rsidR="00F53A6F">
        <w:t>The first of these causes is perhaps less important in many developed, urban economies</w:t>
      </w:r>
      <w:r w:rsidR="0051065F">
        <w:t>,</w:t>
      </w:r>
      <w:r w:rsidR="00F53A6F">
        <w:t xml:space="preserve"> and relates to social, economic and occupational practices th</w:t>
      </w:r>
      <w:r w:rsidR="00F55782">
        <w:t>at keep boys away from school. Similarly, t</w:t>
      </w:r>
      <w:r w:rsidR="00F53A6F">
        <w:t xml:space="preserve">he second cause relating to a paucity of places </w:t>
      </w:r>
      <w:r w:rsidR="00F55782">
        <w:t>for boys tends not to apply in school sectors</w:t>
      </w:r>
      <w:r w:rsidR="0051065F">
        <w:t>,</w:t>
      </w:r>
      <w:r w:rsidR="00F55782">
        <w:t xml:space="preserve"> where primary participation is becoming universal. It is the third cause: conformity to masculine gender identity and the feminisation of schools, that was identified as most important and comm</w:t>
      </w:r>
      <w:r w:rsidR="007B53BC">
        <w:t>on in Jha and Kelleher’s work. While t</w:t>
      </w:r>
      <w:r w:rsidR="00F55782">
        <w:t xml:space="preserve">his cause </w:t>
      </w:r>
      <w:r w:rsidR="007B53BC">
        <w:t>is debatable</w:t>
      </w:r>
      <w:r w:rsidR="00085AFE">
        <w:t xml:space="preserve">, </w:t>
      </w:r>
      <w:r w:rsidR="007B53BC">
        <w:t xml:space="preserve">it has some </w:t>
      </w:r>
      <w:r w:rsidR="007770AD">
        <w:t>likely implications with</w:t>
      </w:r>
      <w:r w:rsidR="00F55782">
        <w:t xml:space="preserve"> research to do with men’s learning </w:t>
      </w:r>
      <w:r w:rsidR="00830A12">
        <w:t>in community settings</w:t>
      </w:r>
      <w:r w:rsidR="007770AD">
        <w:t>,</w:t>
      </w:r>
      <w:r w:rsidR="00830A12">
        <w:t xml:space="preserve"> </w:t>
      </w:r>
      <w:r w:rsidR="00F55782">
        <w:t xml:space="preserve">and is consistent with very recent research </w:t>
      </w:r>
      <w:r w:rsidR="00830A12">
        <w:t xml:space="preserve">on male health seeking behaviour undertaken </w:t>
      </w:r>
      <w:r w:rsidR="00F55782">
        <w:t xml:space="preserve">by </w:t>
      </w:r>
      <w:r w:rsidR="00F55782" w:rsidRPr="00830A12">
        <w:rPr>
          <w:i/>
        </w:rPr>
        <w:t>beyondblue</w:t>
      </w:r>
      <w:r w:rsidR="00830A12">
        <w:t xml:space="preserve"> in Australia (Mousaferiadis, 2012).</w:t>
      </w:r>
    </w:p>
    <w:p w:rsidR="00830A12" w:rsidRDefault="00830A12" w:rsidP="003E2691">
      <w:pPr>
        <w:spacing w:before="120" w:after="120"/>
      </w:pPr>
    </w:p>
    <w:p w:rsidR="00F55782" w:rsidRDefault="00830A12" w:rsidP="003E2691">
      <w:pPr>
        <w:spacing w:before="120" w:after="120"/>
      </w:pPr>
      <w:r>
        <w:t xml:space="preserve">In essence, </w:t>
      </w:r>
      <w:r w:rsidR="00F96CEE">
        <w:t>what</w:t>
      </w:r>
      <w:r>
        <w:t xml:space="preserve"> Jha and Kelleher (2006) report is </w:t>
      </w:r>
      <w:r w:rsidR="00F96CEE">
        <w:t xml:space="preserve">that </w:t>
      </w:r>
      <w:r>
        <w:t xml:space="preserve">some </w:t>
      </w:r>
      <w:r w:rsidR="003C66F5">
        <w:t xml:space="preserve">boys’ and </w:t>
      </w:r>
      <w:r w:rsidR="00F96CEE">
        <w:t>men’</w:t>
      </w:r>
      <w:r w:rsidR="00FA4085">
        <w:t>s</w:t>
      </w:r>
      <w:r>
        <w:t xml:space="preserve"> close conformity to traditional masculin</w:t>
      </w:r>
      <w:r w:rsidR="00F96CEE">
        <w:t>e gender identities clash</w:t>
      </w:r>
      <w:r>
        <w:t xml:space="preserve"> with demands of feminised education</w:t>
      </w:r>
      <w:r w:rsidR="003C66F5">
        <w:t>. While academics theorise about other, less traditional ways to be masculine or feminine</w:t>
      </w:r>
      <w:r w:rsidR="00AE3389">
        <w:t>,</w:t>
      </w:r>
      <w:r w:rsidR="003C66F5">
        <w:t xml:space="preserve"> most boys and men, particularly those with limited and negative experiences of education, </w:t>
      </w:r>
      <w:r w:rsidR="00AE3389">
        <w:t>are socialised into often fairly rigid aspects that define masculinity as being about ‘physical and mental toughness, the capacity to control emotion, capability for sexual conquest and fatherhood, and not with being feminine’ (Jha &amp; Kelleher, 2006, p.</w:t>
      </w:r>
      <w:r w:rsidR="00CD6748">
        <w:t xml:space="preserve"> </w:t>
      </w:r>
      <w:r w:rsidR="00AE3389">
        <w:t xml:space="preserve">43). For Mousaferiades (2012), key universal </w:t>
      </w:r>
      <w:r w:rsidR="00AE3389">
        <w:lastRenderedPageBreak/>
        <w:t xml:space="preserve">themes for men </w:t>
      </w:r>
      <w:r w:rsidR="000C3307">
        <w:t xml:space="preserve">(in a study designed to reduce the impact of depression and anxiety for men in the Australian community) </w:t>
      </w:r>
      <w:r w:rsidR="00AE3389">
        <w:t xml:space="preserve">were </w:t>
      </w:r>
      <w:r w:rsidR="000C3307">
        <w:t xml:space="preserve">very </w:t>
      </w:r>
      <w:r w:rsidR="00AE3389">
        <w:t xml:space="preserve">similar: it was </w:t>
      </w:r>
      <w:r w:rsidR="00F96CEE">
        <w:t xml:space="preserve">about </w:t>
      </w:r>
      <w:r w:rsidR="000C3307">
        <w:t xml:space="preserve">men </w:t>
      </w:r>
      <w:r w:rsidR="00AE3389">
        <w:t xml:space="preserve">maintaining control, a preference for action </w:t>
      </w:r>
      <w:r w:rsidR="000C3307">
        <w:t xml:space="preserve">and physically engaging </w:t>
      </w:r>
      <w:r w:rsidR="00AE3389">
        <w:t>rather than talking, and in relation to their wellbeing, a hesitancy and difficult</w:t>
      </w:r>
      <w:r w:rsidR="00182DD2">
        <w:t>y</w:t>
      </w:r>
      <w:r w:rsidR="00AE3389">
        <w:t xml:space="preserve"> talking about it in either theory or reality. </w:t>
      </w:r>
      <w:r w:rsidR="00085AFE">
        <w:t>Mousaferiades’ (2012) also found</w:t>
      </w:r>
      <w:r w:rsidR="000C3307">
        <w:t xml:space="preserve"> that </w:t>
      </w:r>
      <w:r w:rsidR="00182DD2">
        <w:t xml:space="preserve">most </w:t>
      </w:r>
      <w:r w:rsidR="000C3307">
        <w:t>Australian men were more comfortable and more likely to ‘look out for a mate’ (a close male friend) than themselves.</w:t>
      </w:r>
    </w:p>
    <w:p w:rsidR="001E07AF" w:rsidRDefault="001E07AF" w:rsidP="003E2691">
      <w:pPr>
        <w:spacing w:before="120" w:after="120"/>
      </w:pPr>
    </w:p>
    <w:p w:rsidR="001E07AF" w:rsidRPr="00085AFE" w:rsidRDefault="001E07AF" w:rsidP="003E2691">
      <w:pPr>
        <w:spacing w:before="120" w:after="120"/>
        <w:rPr>
          <w:i/>
        </w:rPr>
      </w:pPr>
      <w:r w:rsidRPr="00085AFE">
        <w:rPr>
          <w:i/>
        </w:rPr>
        <w:t>What do</w:t>
      </w:r>
      <w:r w:rsidR="00D973C0" w:rsidRPr="00085AFE">
        <w:rPr>
          <w:i/>
        </w:rPr>
        <w:t xml:space="preserve"> recent</w:t>
      </w:r>
      <w:r w:rsidR="00F96CEE" w:rsidRPr="00085AFE">
        <w:rPr>
          <w:i/>
        </w:rPr>
        <w:t xml:space="preserve"> </w:t>
      </w:r>
      <w:r w:rsidR="0032178D" w:rsidRPr="00085AFE">
        <w:rPr>
          <w:i/>
        </w:rPr>
        <w:t xml:space="preserve">tertiary </w:t>
      </w:r>
      <w:r w:rsidRPr="00085AFE">
        <w:rPr>
          <w:i/>
        </w:rPr>
        <w:t>education participation data show?</w:t>
      </w:r>
    </w:p>
    <w:p w:rsidR="00D973C0" w:rsidRDefault="00D973C0" w:rsidP="00D973C0">
      <w:pPr>
        <w:spacing w:before="120" w:after="120"/>
      </w:pPr>
    </w:p>
    <w:p w:rsidR="006A2E2C" w:rsidRDefault="00D973C0" w:rsidP="003E2691">
      <w:pPr>
        <w:spacing w:before="120" w:after="120"/>
      </w:pPr>
      <w:r>
        <w:t>The pattern of men’s participation</w:t>
      </w:r>
      <w:r w:rsidR="00F96CEE">
        <w:t xml:space="preserve"> in learning is neither</w:t>
      </w:r>
      <w:r>
        <w:t xml:space="preserve"> simple </w:t>
      </w:r>
      <w:r w:rsidR="00F96CEE">
        <w:t>n</w:t>
      </w:r>
      <w:r w:rsidR="00500402">
        <w:t>or easily generaliz</w:t>
      </w:r>
      <w:r>
        <w:t>able. It varies by nation, sector, level and field of study</w:t>
      </w:r>
      <w:r w:rsidR="0051065F">
        <w:t>,</w:t>
      </w:r>
      <w:r>
        <w:t xml:space="preserve"> and has also varied over time. There nevertheless have been attempts to globally link participation by gender in upper secondary school to </w:t>
      </w:r>
      <w:r w:rsidR="0051065F">
        <w:t>participation by gender in VET (vocational education and training).</w:t>
      </w:r>
      <w:r>
        <w:t xml:space="preserve"> UNEVOC (</w:t>
      </w:r>
      <w:r w:rsidR="00B36FB7">
        <w:t>2006</w:t>
      </w:r>
      <w:r>
        <w:t>)</w:t>
      </w:r>
      <w:r w:rsidR="0051065F">
        <w:t>,</w:t>
      </w:r>
      <w:r>
        <w:t xml:space="preserve"> for example</w:t>
      </w:r>
      <w:r w:rsidR="0051065F">
        <w:t>,</w:t>
      </w:r>
      <w:r>
        <w:t xml:space="preserve"> undertook a complex statistical study using existing global data to analyse to what degree gender inequities at upper secondary school impact on gender disparity (in either direction) on TVET (Technical Vocational Education and Training). It looked first to see whether more boys or girls in upper secondary school could be correlated with more men or women in TVET. It concluded that there was a ‘complex pattern’ but no such general relationship (UNEVOC, </w:t>
      </w:r>
      <w:r w:rsidR="00B36FB7">
        <w:t>2006</w:t>
      </w:r>
      <w:r>
        <w:t>, p.</w:t>
      </w:r>
      <w:r w:rsidR="00CD6748">
        <w:t xml:space="preserve"> </w:t>
      </w:r>
      <w:r>
        <w:t xml:space="preserve">62). However it did conclude that the more equitable </w:t>
      </w:r>
      <w:r w:rsidR="00F96CEE">
        <w:t xml:space="preserve">a nation was </w:t>
      </w:r>
      <w:r>
        <w:t xml:space="preserve">in terms of gender parity, the higher the percentage of TVET participation. Golding (2010) used some of the same the data as part of a follow up study with an Australian focus. </w:t>
      </w:r>
    </w:p>
    <w:p w:rsidR="0047518C" w:rsidRDefault="0047518C" w:rsidP="003E2691">
      <w:pPr>
        <w:spacing w:before="120" w:after="120"/>
      </w:pPr>
    </w:p>
    <w:p w:rsidR="006A2E2C" w:rsidRDefault="001E07AF" w:rsidP="003E2691">
      <w:pPr>
        <w:spacing w:before="120" w:after="120"/>
      </w:pPr>
      <w:r>
        <w:t xml:space="preserve">Nevertheless there are some recent trends </w:t>
      </w:r>
      <w:r w:rsidR="00085AFE">
        <w:t xml:space="preserve">if </w:t>
      </w:r>
      <w:r w:rsidR="00D973C0">
        <w:t xml:space="preserve">focus </w:t>
      </w:r>
      <w:r w:rsidR="00085AFE">
        <w:t>is brought to</w:t>
      </w:r>
      <w:r w:rsidR="00D973C0">
        <w:t xml:space="preserve"> men’s part</w:t>
      </w:r>
      <w:r w:rsidR="00182DD2">
        <w:t>icipation in education</w:t>
      </w:r>
      <w:r w:rsidR="00D973C0">
        <w:t xml:space="preserve"> in partic</w:t>
      </w:r>
      <w:r w:rsidR="00085AFE">
        <w:t>ular sub-regions of the world. I</w:t>
      </w:r>
      <w:r>
        <w:t xml:space="preserve"> illustrate </w:t>
      </w:r>
      <w:r w:rsidR="00D973C0">
        <w:t xml:space="preserve">these trends </w:t>
      </w:r>
      <w:r>
        <w:t>in this section</w:t>
      </w:r>
      <w:r w:rsidR="0032178D">
        <w:t xml:space="preserve"> </w:t>
      </w:r>
      <w:r w:rsidR="00085AFE">
        <w:t xml:space="preserve">of the paper </w:t>
      </w:r>
      <w:r w:rsidR="0032178D">
        <w:t>using recent OECD data from the tertiary (mainly higher education) sector</w:t>
      </w:r>
      <w:r w:rsidR="00D973C0">
        <w:t xml:space="preserve">, acknowledging that extrapolating to other, unlike nations will not necessarily reveal the same patterns. </w:t>
      </w:r>
      <w:r w:rsidR="00085AFE">
        <w:t>I</w:t>
      </w:r>
      <w:r w:rsidR="00F96CEE">
        <w:t xml:space="preserve"> acknowledge here that </w:t>
      </w:r>
      <w:r w:rsidR="00BB57E0">
        <w:t xml:space="preserve">gendered relativities </w:t>
      </w:r>
      <w:r w:rsidR="00F96CEE">
        <w:t>in tertiary education participation (</w:t>
      </w:r>
      <w:r w:rsidR="00BB57E0">
        <w:t>differently defined and measured across</w:t>
      </w:r>
      <w:r w:rsidR="00F96CEE">
        <w:t xml:space="preserve"> nations) </w:t>
      </w:r>
      <w:r w:rsidR="00BB57E0">
        <w:t>are not necessarily indicative of gender relativities in other adult education sectors including VET and ACE</w:t>
      </w:r>
      <w:r w:rsidR="0051065F">
        <w:t xml:space="preserve"> (adult and community education)</w:t>
      </w:r>
      <w:r w:rsidR="00085AFE">
        <w:t>. I</w:t>
      </w:r>
      <w:r w:rsidR="00BB57E0">
        <w:t xml:space="preserve"> also note that the </w:t>
      </w:r>
      <w:r w:rsidR="00085AFE">
        <w:t>global financial c</w:t>
      </w:r>
      <w:r w:rsidR="0051065F">
        <w:t>risis (</w:t>
      </w:r>
      <w:r w:rsidR="00BB57E0">
        <w:t>GFC</w:t>
      </w:r>
      <w:r w:rsidR="0051065F">
        <w:t>)</w:t>
      </w:r>
      <w:r w:rsidR="00BB57E0">
        <w:t xml:space="preserve"> </w:t>
      </w:r>
      <w:r w:rsidR="00A30E98">
        <w:t xml:space="preserve">since 2008 </w:t>
      </w:r>
      <w:r w:rsidR="00BB57E0">
        <w:t xml:space="preserve">has </w:t>
      </w:r>
      <w:r w:rsidR="00A30E98">
        <w:t>greatly elevated unemployment in most nations, dating these statistics.</w:t>
      </w:r>
    </w:p>
    <w:p w:rsidR="00F96CEE" w:rsidRDefault="00F96CEE" w:rsidP="003E2691">
      <w:pPr>
        <w:spacing w:before="120" w:after="120"/>
      </w:pPr>
    </w:p>
    <w:p w:rsidR="006A2E2C" w:rsidRDefault="001E07AF" w:rsidP="003E2691">
      <w:pPr>
        <w:spacing w:before="120" w:after="120"/>
      </w:pPr>
      <w:r>
        <w:t xml:space="preserve">The first </w:t>
      </w:r>
      <w:r w:rsidR="00F96CEE">
        <w:t>trend</w:t>
      </w:r>
      <w:r>
        <w:t xml:space="preserve"> is that in most </w:t>
      </w:r>
      <w:r w:rsidR="0032178D">
        <w:t xml:space="preserve">relatively </w:t>
      </w:r>
      <w:r>
        <w:t>developed nations</w:t>
      </w:r>
      <w:r w:rsidR="0051065F">
        <w:t>,</w:t>
      </w:r>
      <w:r w:rsidR="0032178D">
        <w:t xml:space="preserve"> such as those in the OECD</w:t>
      </w:r>
      <w:r>
        <w:t xml:space="preserve">, </w:t>
      </w:r>
      <w:r w:rsidR="0077667B" w:rsidRPr="00203805">
        <w:t>women are increasingly more likely to commence higher education</w:t>
      </w:r>
      <w:r>
        <w:t xml:space="preserve">, in many nations significantly more </w:t>
      </w:r>
      <w:r w:rsidR="00A57BAF">
        <w:t xml:space="preserve">likely </w:t>
      </w:r>
      <w:r>
        <w:t>than men.</w:t>
      </w:r>
      <w:r w:rsidR="00F96CEE">
        <w:t xml:space="preserve"> </w:t>
      </w:r>
      <w:r w:rsidR="0047518C">
        <w:t>OECD (2008, p.</w:t>
      </w:r>
      <w:r w:rsidR="00CD6748">
        <w:t xml:space="preserve"> </w:t>
      </w:r>
      <w:r w:rsidR="0047518C">
        <w:t>70) data show for the 26 OECD nations with data, females comprised more than 50 per cent of new entrants to tertiary education in 22 nations, with an average of 54 per cent across all 26 nations and 55 p</w:t>
      </w:r>
      <w:r w:rsidR="007E3184">
        <w:t>er cent for the 19 EU nations. OECD n</w:t>
      </w:r>
      <w:r w:rsidR="0047518C">
        <w:t>ations with high</w:t>
      </w:r>
      <w:r w:rsidR="00F96CEE">
        <w:t>er</w:t>
      </w:r>
      <w:r w:rsidR="0047518C">
        <w:t xml:space="preserve"> proportions of women commencers included Iceland (60%), Norway and the UK (59%), Portugal and New Zealand (58%).</w:t>
      </w:r>
    </w:p>
    <w:p w:rsidR="007E3184" w:rsidRDefault="007E3184" w:rsidP="003E2691">
      <w:pPr>
        <w:spacing w:before="120" w:after="120"/>
      </w:pPr>
    </w:p>
    <w:p w:rsidR="006A2E2C" w:rsidRDefault="0077667B" w:rsidP="003E2691">
      <w:pPr>
        <w:spacing w:before="120" w:after="120"/>
      </w:pPr>
      <w:r w:rsidRPr="009F4DDF">
        <w:lastRenderedPageBreak/>
        <w:t>By contrast, most males in developed nations are more likely to be in employment.</w:t>
      </w:r>
      <w:r w:rsidR="00A57BAF" w:rsidRPr="009F4DDF">
        <w:t xml:space="preserve"> </w:t>
      </w:r>
      <w:r w:rsidR="007E3184" w:rsidRPr="009F4DDF">
        <w:t>While ma</w:t>
      </w:r>
      <w:r w:rsidR="00A110B9" w:rsidRPr="009F4DDF">
        <w:t>les of working age (25-64 years</w:t>
      </w:r>
      <w:r w:rsidR="007E3184" w:rsidRPr="009F4DDF">
        <w:t xml:space="preserve">) are significantly </w:t>
      </w:r>
      <w:r w:rsidRPr="009F4DDF">
        <w:t>more likely than females</w:t>
      </w:r>
      <w:r w:rsidR="00A110B9" w:rsidRPr="009F4DDF">
        <w:t xml:space="preserve"> </w:t>
      </w:r>
      <w:r w:rsidR="007E3184" w:rsidRPr="009F4DDF">
        <w:t>to be paid employment regardless of level or education level attained in</w:t>
      </w:r>
      <w:r w:rsidR="00A110B9" w:rsidRPr="009F4DDF">
        <w:t xml:space="preserve"> all OECD countries (OECD</w:t>
      </w:r>
      <w:r w:rsidR="00FF39AD" w:rsidRPr="009F4DDF">
        <w:t>,</w:t>
      </w:r>
      <w:r w:rsidR="00A110B9" w:rsidRPr="009F4DDF">
        <w:t xml:space="preserve"> 2008, pp.</w:t>
      </w:r>
      <w:r w:rsidR="0051065F">
        <w:t xml:space="preserve"> 151-</w:t>
      </w:r>
      <w:r w:rsidR="00A110B9" w:rsidRPr="009F4DDF">
        <w:t>52)</w:t>
      </w:r>
      <w:r w:rsidR="007E3184" w:rsidRPr="009F4DDF">
        <w:t>, the difference between the percentage of males and females in employment reduces with higher education levels</w:t>
      </w:r>
      <w:r w:rsidR="00A110B9" w:rsidRPr="009F4DDF">
        <w:t>.</w:t>
      </w:r>
      <w:r w:rsidR="00BB57E0" w:rsidRPr="009F4DDF">
        <w:t xml:space="preserve"> Across all OECD countries</w:t>
      </w:r>
      <w:r w:rsidRPr="009F4DDF">
        <w:t>, 82 per cent of males of working age were employed</w:t>
      </w:r>
      <w:r w:rsidR="0051065F">
        <w:t>,</w:t>
      </w:r>
      <w:r w:rsidRPr="009F4DDF">
        <w:t xml:space="preserve"> compared to 64 per</w:t>
      </w:r>
      <w:r w:rsidR="00A110B9">
        <w:t xml:space="preserve"> cent of fem</w:t>
      </w:r>
      <w:r w:rsidR="00D62AEC">
        <w:t>ales. Conversely females are more likely to be unemployed than males</w:t>
      </w:r>
      <w:r w:rsidR="00FF39AD">
        <w:t xml:space="preserve"> in most OECD nations (OECD, 200</w:t>
      </w:r>
      <w:r w:rsidR="00D62AEC">
        <w:t>8, pp</w:t>
      </w:r>
      <w:r w:rsidR="00FF39AD">
        <w:t>.</w:t>
      </w:r>
      <w:r w:rsidR="0051065F">
        <w:t xml:space="preserve"> </w:t>
      </w:r>
      <w:r w:rsidR="00FF39AD">
        <w:t>153-54</w:t>
      </w:r>
      <w:r w:rsidR="0051065F">
        <w:t>)</w:t>
      </w:r>
      <w:r w:rsidR="00D62AEC">
        <w:t>, regardless of education levels</w:t>
      </w:r>
      <w:r w:rsidR="00BB57E0">
        <w:t>. Across all OECD countries, five</w:t>
      </w:r>
      <w:r w:rsidR="00D62AEC">
        <w:t xml:space="preserve"> per cent of males of working age</w:t>
      </w:r>
      <w:r w:rsidR="00BB57E0">
        <w:t xml:space="preserve"> were unemployed</w:t>
      </w:r>
      <w:r w:rsidR="0051065F">
        <w:t>,</w:t>
      </w:r>
      <w:r w:rsidR="00BB57E0">
        <w:t xml:space="preserve"> compared to six</w:t>
      </w:r>
      <w:r w:rsidR="00D62AEC">
        <w:t xml:space="preserve"> per cent of females. </w:t>
      </w:r>
      <w:r w:rsidR="00A57BAF">
        <w:t xml:space="preserve">Females </w:t>
      </w:r>
      <w:r w:rsidR="0032178D">
        <w:t xml:space="preserve">on average </w:t>
      </w:r>
      <w:r w:rsidR="00BB57E0">
        <w:t xml:space="preserve">in the OECD </w:t>
      </w:r>
      <w:r w:rsidR="0032178D">
        <w:t xml:space="preserve">earn less </w:t>
      </w:r>
      <w:r w:rsidR="00A30E98">
        <w:t xml:space="preserve">in paid work </w:t>
      </w:r>
      <w:r w:rsidR="0032178D">
        <w:t>than males.</w:t>
      </w:r>
      <w:r w:rsidR="00FF39AD">
        <w:t xml:space="preserve"> Males of working age earn significantly more than women from paid employment</w:t>
      </w:r>
      <w:r w:rsidR="0051065F">
        <w:t>,</w:t>
      </w:r>
      <w:r w:rsidR="00FF39AD">
        <w:t xml:space="preserve"> regardless of education level (OECD, 2008, p.</w:t>
      </w:r>
      <w:r w:rsidR="0051065F">
        <w:t xml:space="preserve"> </w:t>
      </w:r>
      <w:r w:rsidR="00FF39AD">
        <w:t>175).</w:t>
      </w:r>
      <w:r w:rsidR="0032178D">
        <w:t xml:space="preserve"> </w:t>
      </w:r>
    </w:p>
    <w:p w:rsidR="00BB57E0" w:rsidRDefault="00BB57E0" w:rsidP="003E2691">
      <w:pPr>
        <w:spacing w:before="120" w:after="120"/>
      </w:pPr>
    </w:p>
    <w:p w:rsidR="000D1D86" w:rsidRDefault="00A30E98" w:rsidP="003E2691">
      <w:pPr>
        <w:spacing w:before="120" w:after="120"/>
      </w:pPr>
      <w:r>
        <w:t>Trends</w:t>
      </w:r>
      <w:r w:rsidR="0032178D">
        <w:t xml:space="preserve"> in women’s </w:t>
      </w:r>
      <w:r>
        <w:t xml:space="preserve">participation in </w:t>
      </w:r>
      <w:r w:rsidR="0032178D">
        <w:t>adult learning observed in many deve</w:t>
      </w:r>
      <w:r w:rsidR="003750FF">
        <w:t>loped nations by McGivney (1999</w:t>
      </w:r>
      <w:r w:rsidR="0032178D">
        <w:t>)</w:t>
      </w:r>
      <w:r>
        <w:t xml:space="preserve"> and </w:t>
      </w:r>
      <w:r w:rsidR="0032178D">
        <w:t xml:space="preserve">the UK </w:t>
      </w:r>
      <w:r>
        <w:t xml:space="preserve">will </w:t>
      </w:r>
      <w:r w:rsidR="0051065F">
        <w:t>since</w:t>
      </w:r>
      <w:r>
        <w:t xml:space="preserve"> have altered</w:t>
      </w:r>
      <w:r w:rsidR="0032178D">
        <w:t xml:space="preserve">. </w:t>
      </w:r>
      <w:r w:rsidR="00130D27">
        <w:t>McNair (2007, pp.</w:t>
      </w:r>
      <w:r w:rsidR="0051065F">
        <w:t xml:space="preserve"> </w:t>
      </w:r>
      <w:r w:rsidR="00C14EFA">
        <w:t>18-19</w:t>
      </w:r>
      <w:r w:rsidR="00251B12">
        <w:t>)</w:t>
      </w:r>
      <w:r>
        <w:t xml:space="preserve"> more recently</w:t>
      </w:r>
      <w:r w:rsidR="00251B12">
        <w:t xml:space="preserve"> identified broad changes in gender roles in the UK on the four decades since 1970. While the proporti</w:t>
      </w:r>
      <w:r>
        <w:t xml:space="preserve">on of women in the workforce </w:t>
      </w:r>
      <w:r w:rsidR="00251B12">
        <w:t xml:space="preserve">increased </w:t>
      </w:r>
      <w:r w:rsidR="00130D27">
        <w:t>significantly</w:t>
      </w:r>
      <w:r w:rsidRPr="009F4DDF">
        <w:t xml:space="preserve">, </w:t>
      </w:r>
      <w:r w:rsidR="0077667B" w:rsidRPr="009F4DDF">
        <w:t>pay remained heavily biased in favour of men</w:t>
      </w:r>
      <w:r w:rsidR="00251B12" w:rsidRPr="009F4DDF">
        <w:t>.</w:t>
      </w:r>
      <w:r w:rsidR="00251B12">
        <w:t xml:space="preserve"> Over the life course, men and women </w:t>
      </w:r>
      <w:r>
        <w:t xml:space="preserve">tend to </w:t>
      </w:r>
      <w:r w:rsidR="00251B12">
        <w:t>spend equal amounts of time working</w:t>
      </w:r>
      <w:r w:rsidR="0051065F">
        <w:t>,</w:t>
      </w:r>
      <w:r w:rsidR="00251B12">
        <w:t xml:space="preserve"> but in different ways</w:t>
      </w:r>
      <w:r w:rsidR="00130D27">
        <w:t xml:space="preserve"> and stages. Career patterns remain</w:t>
      </w:r>
      <w:r w:rsidR="00251B12">
        <w:t xml:space="preserve"> heavily gendered. Patterns of retirement for men </w:t>
      </w:r>
      <w:r>
        <w:t xml:space="preserve">still </w:t>
      </w:r>
      <w:r w:rsidR="00251B12">
        <w:t xml:space="preserve">tend to be </w:t>
      </w:r>
      <w:r w:rsidR="0051065F">
        <w:t xml:space="preserve">very different than for women. As McNair puts it, men tend to </w:t>
      </w:r>
      <w:r w:rsidR="00251B12">
        <w:t xml:space="preserve">climb higher, and fall faster. Women </w:t>
      </w:r>
      <w:r w:rsidR="0051065F">
        <w:t xml:space="preserve">tend to </w:t>
      </w:r>
      <w:r w:rsidR="00251B12">
        <w:t xml:space="preserve">have fewer chances </w:t>
      </w:r>
      <w:r w:rsidR="0051065F">
        <w:t>but smaller disappointments</w:t>
      </w:r>
      <w:r w:rsidR="00123156">
        <w:t xml:space="preserve">. With increased longevity, women are </w:t>
      </w:r>
      <w:r>
        <w:t xml:space="preserve">also </w:t>
      </w:r>
      <w:r w:rsidR="00123156">
        <w:t>more likely to care for elderly dependents, their own children and grandchildren</w:t>
      </w:r>
      <w:r w:rsidR="00B60110">
        <w:t>.</w:t>
      </w:r>
    </w:p>
    <w:p w:rsidR="0032178D" w:rsidRDefault="0032178D" w:rsidP="003E2691">
      <w:pPr>
        <w:spacing w:before="120" w:after="120"/>
      </w:pPr>
    </w:p>
    <w:p w:rsidR="000D1D86" w:rsidRPr="00085AFE" w:rsidRDefault="0016534F" w:rsidP="003E2691">
      <w:pPr>
        <w:spacing w:before="120" w:after="120"/>
        <w:rPr>
          <w:i/>
        </w:rPr>
      </w:pPr>
      <w:r w:rsidRPr="00085AFE">
        <w:rPr>
          <w:i/>
        </w:rPr>
        <w:t>Looking at men’s learning in adult and community education setting</w:t>
      </w:r>
      <w:r w:rsidR="00BE77E2" w:rsidRPr="00085AFE">
        <w:rPr>
          <w:i/>
        </w:rPr>
        <w:t>s</w:t>
      </w:r>
    </w:p>
    <w:p w:rsidR="0016534F" w:rsidRDefault="0016534F" w:rsidP="003E2691">
      <w:pPr>
        <w:spacing w:before="120" w:after="120"/>
        <w:rPr>
          <w:i/>
        </w:rPr>
      </w:pPr>
    </w:p>
    <w:p w:rsidR="00A30E98" w:rsidRDefault="00085AFE" w:rsidP="000D1D86">
      <w:pPr>
        <w:spacing w:before="120" w:after="120"/>
      </w:pPr>
      <w:r>
        <w:t xml:space="preserve">When learning outside higher education is examined </w:t>
      </w:r>
      <w:r w:rsidR="000D1D86">
        <w:t>in particular nations some of the generalisations identified above start to fall away.</w:t>
      </w:r>
      <w:r w:rsidR="00A30E98">
        <w:t xml:space="preserve"> In Canada, for example, Myers and</w:t>
      </w:r>
      <w:r w:rsidR="000D1D86">
        <w:t xml:space="preserve"> M</w:t>
      </w:r>
      <w:r w:rsidR="00A30E98">
        <w:t>yles (2005, p.</w:t>
      </w:r>
      <w:r w:rsidR="0051065F">
        <w:t xml:space="preserve"> </w:t>
      </w:r>
      <w:r>
        <w:t>19) observed that:</w:t>
      </w:r>
    </w:p>
    <w:p w:rsidR="006A2E2C" w:rsidRDefault="000D1D86" w:rsidP="00A30E98">
      <w:pPr>
        <w:spacing w:before="120" w:after="120"/>
        <w:ind w:left="567"/>
        <w:rPr>
          <w:sz w:val="22"/>
        </w:rPr>
      </w:pPr>
      <w:r w:rsidRPr="00A30E98">
        <w:rPr>
          <w:sz w:val="22"/>
        </w:rPr>
        <w:t xml:space="preserve">Among the least educated, women are </w:t>
      </w:r>
      <w:r w:rsidRPr="009F4DDF">
        <w:rPr>
          <w:sz w:val="22"/>
        </w:rPr>
        <w:t xml:space="preserve">slightly </w:t>
      </w:r>
      <w:r w:rsidR="0077667B" w:rsidRPr="009F4DDF">
        <w:rPr>
          <w:sz w:val="22"/>
        </w:rPr>
        <w:t>less</w:t>
      </w:r>
      <w:r w:rsidRPr="009F4DDF">
        <w:rPr>
          <w:sz w:val="22"/>
        </w:rPr>
        <w:t xml:space="preserve"> likely</w:t>
      </w:r>
      <w:r w:rsidRPr="00A30E98">
        <w:rPr>
          <w:sz w:val="22"/>
        </w:rPr>
        <w:t xml:space="preserve"> than men to participate in adult learning although the difference is not significant In contrast, among university graduates women are much more likely (1.6 times) than men to participate in adult learni</w:t>
      </w:r>
      <w:r w:rsidR="00A30E98" w:rsidRPr="00A30E98">
        <w:rPr>
          <w:sz w:val="22"/>
        </w:rPr>
        <w:t>ng</w:t>
      </w:r>
      <w:r w:rsidRPr="00A30E98">
        <w:rPr>
          <w:sz w:val="22"/>
        </w:rPr>
        <w:t xml:space="preserve">. </w:t>
      </w:r>
    </w:p>
    <w:p w:rsidR="00D973C0" w:rsidRPr="00A30E98" w:rsidRDefault="00D973C0" w:rsidP="00A30E98">
      <w:pPr>
        <w:spacing w:before="120" w:after="120"/>
        <w:ind w:left="567"/>
        <w:rPr>
          <w:sz w:val="22"/>
        </w:rPr>
      </w:pPr>
    </w:p>
    <w:p w:rsidR="006A2E2C" w:rsidRDefault="000D1D86" w:rsidP="000D1D86">
      <w:pPr>
        <w:spacing w:before="120" w:after="120"/>
      </w:pPr>
      <w:r>
        <w:t>While the benefits to learning are great</w:t>
      </w:r>
      <w:r w:rsidR="00A30E98">
        <w:t>est for the least educated (</w:t>
      </w:r>
      <w:r>
        <w:t>Myers &amp; Myles</w:t>
      </w:r>
      <w:r w:rsidR="00A30E98">
        <w:t>,</w:t>
      </w:r>
      <w:r>
        <w:t xml:space="preserve"> (2005, pp.</w:t>
      </w:r>
      <w:r w:rsidR="00CD6748">
        <w:t xml:space="preserve"> </w:t>
      </w:r>
      <w:r>
        <w:t>21-22)</w:t>
      </w:r>
      <w:r w:rsidR="00A30E98">
        <w:t>,</w:t>
      </w:r>
      <w:r>
        <w:t xml:space="preserve"> in most developed nations there are significant</w:t>
      </w:r>
      <w:r w:rsidR="00182DD2">
        <w:t>ly</w:t>
      </w:r>
      <w:r>
        <w:t xml:space="preserve"> more women involved in adult and community education than men</w:t>
      </w:r>
      <w:r w:rsidR="00E60805">
        <w:t>, particularly amongst older men</w:t>
      </w:r>
      <w:r>
        <w:t>.</w:t>
      </w:r>
      <w:r w:rsidR="00E60805">
        <w:t xml:space="preserve"> As Scott and Wenger (1995, p.</w:t>
      </w:r>
      <w:r w:rsidR="00CD6748">
        <w:t xml:space="preserve"> </w:t>
      </w:r>
      <w:r w:rsidR="00E60805">
        <w:t>162) noted</w:t>
      </w:r>
      <w:r w:rsidR="00E60805" w:rsidRPr="009F4DDF">
        <w:t xml:space="preserve">, </w:t>
      </w:r>
      <w:r w:rsidR="0077667B" w:rsidRPr="009F4DDF">
        <w:t>older men tend not to want to become involved with older people’s organisation</w:t>
      </w:r>
      <w:r w:rsidR="00203805" w:rsidRPr="009F4DDF">
        <w:t>s</w:t>
      </w:r>
      <w:r w:rsidR="0077667B" w:rsidRPr="009F4DDF">
        <w:t xml:space="preserve"> they perceive to be dominated by women.</w:t>
      </w:r>
      <w:r w:rsidRPr="009F4DDF">
        <w:t xml:space="preserve"> </w:t>
      </w:r>
      <w:r w:rsidR="00E60805" w:rsidRPr="009F4DDF">
        <w:t xml:space="preserve">More broadly, </w:t>
      </w:r>
      <w:r w:rsidR="00C240E5" w:rsidRPr="009F4DDF">
        <w:t>as Formosa (2012, p.</w:t>
      </w:r>
      <w:r w:rsidR="00CD6748" w:rsidRPr="009F4DDF">
        <w:t xml:space="preserve"> </w:t>
      </w:r>
      <w:r w:rsidR="00C240E5" w:rsidRPr="009F4DDF">
        <w:t>13)</w:t>
      </w:r>
      <w:r w:rsidR="00A30E98" w:rsidRPr="009F4DDF">
        <w:t xml:space="preserve"> </w:t>
      </w:r>
      <w:r w:rsidR="00C240E5" w:rsidRPr="009F4DDF">
        <w:t xml:space="preserve">observes, </w:t>
      </w:r>
      <w:r w:rsidR="00E60805" w:rsidRPr="009F4DDF">
        <w:t>men</w:t>
      </w:r>
      <w:r w:rsidR="00C240E5">
        <w:t xml:space="preserve"> tend to relate to a culture that encourages them to cling to traditional roles and patterns of behaviour</w:t>
      </w:r>
      <w:r w:rsidR="0051065F">
        <w:t>,</w:t>
      </w:r>
      <w:r w:rsidR="00C240E5">
        <w:t xml:space="preserve"> where it is believed that engaging in learning is for women rather than for men.</w:t>
      </w:r>
    </w:p>
    <w:p w:rsidR="00C240E5" w:rsidRDefault="00C240E5" w:rsidP="000D1D86">
      <w:pPr>
        <w:spacing w:before="120" w:after="120"/>
      </w:pPr>
    </w:p>
    <w:p w:rsidR="00203805" w:rsidRDefault="00D973C0" w:rsidP="000D1D86">
      <w:pPr>
        <w:spacing w:before="120" w:after="120"/>
      </w:pPr>
      <w:r>
        <w:t>In dedicat</w:t>
      </w:r>
      <w:r w:rsidR="00E60805">
        <w:t>ed community-</w:t>
      </w:r>
      <w:r>
        <w:t>based learning organisation</w:t>
      </w:r>
      <w:r w:rsidR="00E60805">
        <w:t>s for older adults such as U3A (Formosa, 2012, p.</w:t>
      </w:r>
      <w:r w:rsidR="00CD6748">
        <w:t xml:space="preserve"> </w:t>
      </w:r>
      <w:r w:rsidR="00E60805">
        <w:t>13)</w:t>
      </w:r>
      <w:r w:rsidR="0051065F">
        <w:t>,</w:t>
      </w:r>
      <w:r w:rsidR="00E60805">
        <w:t xml:space="preserve"> all surveys uncover a positive women to men ratio</w:t>
      </w:r>
      <w:r w:rsidR="0051065F">
        <w:t>,</w:t>
      </w:r>
      <w:r w:rsidR="00E60805">
        <w:t xml:space="preserve"> ranging </w:t>
      </w:r>
      <w:r w:rsidR="00E60805">
        <w:lastRenderedPageBreak/>
        <w:t>between 3:1 in Malta and the UK, 4:1 in Australia and 2.5:1 in Spain, for example. As Formosa (2012, p.</w:t>
      </w:r>
      <w:r w:rsidR="00CD6748">
        <w:t xml:space="preserve"> </w:t>
      </w:r>
      <w:r w:rsidR="00E60805">
        <w:t xml:space="preserve">13) summarises, ‘the low percentage of men signals strongly that for a number of reasons the organisation is not attractive to them’. </w:t>
      </w:r>
      <w:r w:rsidR="000D1D86">
        <w:t>In Ireland the gender breakdown of all participants in community and adult education is approximately 70 per cent female, 30 p</w:t>
      </w:r>
      <w:r w:rsidR="003750FF">
        <w:t>er cent male (O’Connor, 2007</w:t>
      </w:r>
      <w:r w:rsidR="00E60805">
        <w:t>)</w:t>
      </w:r>
      <w:r w:rsidR="00BE77E2">
        <w:t xml:space="preserve"> and the </w:t>
      </w:r>
      <w:r w:rsidR="00E60805">
        <w:t>p</w:t>
      </w:r>
      <w:r w:rsidR="00C240E5">
        <w:t>r</w:t>
      </w:r>
      <w:r w:rsidR="000D1D86">
        <w:t>oportion of men participating in adult literacy declined from 71 per cent in</w:t>
      </w:r>
      <w:r w:rsidR="00BE77E2">
        <w:t xml:space="preserve"> 1980, to 37 per cent in 2000 (D</w:t>
      </w:r>
      <w:r w:rsidR="000D1D86">
        <w:t>e Br</w:t>
      </w:r>
      <w:r w:rsidR="00BE77E2">
        <w:t>ú</w:t>
      </w:r>
      <w:r w:rsidR="00182DD2">
        <w:t>n &amp; Du Vivier</w:t>
      </w:r>
      <w:r w:rsidR="000D1D86">
        <w:t>, 2008). One quarter of boys in Ireland exit the formal education before the Leaving C</w:t>
      </w:r>
      <w:r w:rsidR="00E60805">
        <w:t>ertificate, compared with only six</w:t>
      </w:r>
      <w:r w:rsidR="000D1D86">
        <w:t xml:space="preserve"> per cent of girls </w:t>
      </w:r>
      <w:r w:rsidR="000D1D86" w:rsidRPr="0060078D">
        <w:t>(Cleary et al</w:t>
      </w:r>
      <w:r w:rsidR="00E60805" w:rsidRPr="0060078D">
        <w:t>.</w:t>
      </w:r>
      <w:r w:rsidR="0060078D" w:rsidRPr="0060078D">
        <w:t>,</w:t>
      </w:r>
      <w:r w:rsidR="0060078D">
        <w:t xml:space="preserve"> 2004).</w:t>
      </w:r>
    </w:p>
    <w:p w:rsidR="00203805" w:rsidRDefault="00203805" w:rsidP="000D1D86">
      <w:pPr>
        <w:spacing w:before="120" w:after="120"/>
      </w:pPr>
    </w:p>
    <w:p w:rsidR="00BB6451" w:rsidRDefault="00203805" w:rsidP="000D1D86">
      <w:pPr>
        <w:spacing w:before="120" w:after="120"/>
        <w:rPr>
          <w:i/>
        </w:rPr>
      </w:pPr>
      <w:r w:rsidRPr="00085AFE">
        <w:rPr>
          <w:i/>
        </w:rPr>
        <w:t>Summary</w:t>
      </w:r>
    </w:p>
    <w:p w:rsidR="00203805" w:rsidRPr="00085AFE" w:rsidRDefault="00203805" w:rsidP="000D1D86">
      <w:pPr>
        <w:spacing w:before="120" w:after="120"/>
        <w:rPr>
          <w:i/>
        </w:rPr>
      </w:pPr>
    </w:p>
    <w:p w:rsidR="00BB6451" w:rsidRDefault="00BB6451" w:rsidP="00BB6451">
      <w:pPr>
        <w:spacing w:before="120" w:after="120"/>
      </w:pPr>
      <w:r>
        <w:t>My general interest in this paper has been with how learning can and does make a big difference to men’s lives (and by extension to partners, children families and communities) in contexts beyond paid work. My specific interest is in the benefits of learning in less formal contexts by the least formally educated men of any age. My underlying interest is why such men sometimes hold very different expectations and attitudes towards learning from women and most other men, and how they can be prevented from becoming intergenerational.</w:t>
      </w:r>
    </w:p>
    <w:p w:rsidR="00203805" w:rsidRDefault="00203805" w:rsidP="000D1D86">
      <w:pPr>
        <w:spacing w:before="120" w:after="120"/>
      </w:pPr>
    </w:p>
    <w:p w:rsidR="00F76C0D" w:rsidRDefault="00255200" w:rsidP="000D1D86">
      <w:pPr>
        <w:spacing w:before="120" w:after="120"/>
      </w:pPr>
      <w:r>
        <w:t xml:space="preserve">In </w:t>
      </w:r>
      <w:r w:rsidR="00085AFE">
        <w:t>conclusion</w:t>
      </w:r>
      <w:r>
        <w:t>, the situation for men and women in adult education is neither simple nor the same for all men and all women. Nor is it the same everywhere, at all education levels or for adults of all ages. For example w</w:t>
      </w:r>
      <w:r w:rsidR="00816339">
        <w:t xml:space="preserve">hile </w:t>
      </w:r>
      <w:r>
        <w:t xml:space="preserve">most </w:t>
      </w:r>
      <w:r w:rsidR="00816339">
        <w:t>w</w:t>
      </w:r>
      <w:r w:rsidR="00203805">
        <w:t xml:space="preserve">omen </w:t>
      </w:r>
      <w:r w:rsidR="00816339">
        <w:t>globally ‘</w:t>
      </w:r>
      <w:r w:rsidR="00203805">
        <w:t>remain disadvantaged in the spheres of education work and social life</w:t>
      </w:r>
      <w:r w:rsidR="00816339">
        <w:t xml:space="preserve">’ (Bowl </w:t>
      </w:r>
      <w:r w:rsidR="0051065F">
        <w:t>&amp;</w:t>
      </w:r>
      <w:r w:rsidR="00816339">
        <w:t xml:space="preserve"> Tobias, 2012, p. 4), </w:t>
      </w:r>
      <w:r>
        <w:t xml:space="preserve">on average </w:t>
      </w:r>
      <w:r w:rsidR="00816339">
        <w:t>‘European women are better educated than their male counterparts’ and ‘the rate of women’s access to education and training throughout life is now higher than men in all courses or company training’ in most European nations (Ostrouch-Kaminska,</w:t>
      </w:r>
      <w:r w:rsidR="00F3522A">
        <w:t xml:space="preserve"> Fontanini &amp; Gaynard, </w:t>
      </w:r>
      <w:r>
        <w:t xml:space="preserve">2012, </w:t>
      </w:r>
      <w:r w:rsidR="00F3522A">
        <w:t xml:space="preserve">p. 10). While </w:t>
      </w:r>
      <w:r w:rsidR="00BB6451">
        <w:t>it is impor</w:t>
      </w:r>
      <w:r w:rsidR="00085AFE">
        <w:t>tant</w:t>
      </w:r>
      <w:r w:rsidR="00F3522A">
        <w:t xml:space="preserve"> not to bla</w:t>
      </w:r>
      <w:r w:rsidR="00816339">
        <w:t>me ‘feminism, women teachers</w:t>
      </w:r>
      <w:r w:rsidR="00F3522A">
        <w:t xml:space="preserve"> and women themselves’ (Bowl </w:t>
      </w:r>
      <w:r w:rsidR="0051065F">
        <w:t>&amp;</w:t>
      </w:r>
      <w:r w:rsidR="00F3522A">
        <w:t xml:space="preserve"> Tobias, 2012, p. 4) for these positive trends in educationa</w:t>
      </w:r>
      <w:r w:rsidR="00085AFE">
        <w:t xml:space="preserve">l participation for women, </w:t>
      </w:r>
      <w:r w:rsidR="00BB6451">
        <w:t>there is evidence here of a need to examine and address</w:t>
      </w:r>
      <w:r w:rsidR="00F3522A">
        <w:t xml:space="preserve"> the absences and silences on gender issues in adult education</w:t>
      </w:r>
      <w:r>
        <w:t xml:space="preserve"> (Ostrouch-Kaminska, Fontanini &amp; Gaynard, 2012, p. 10)</w:t>
      </w:r>
      <w:r w:rsidR="00091BE0">
        <w:t>,</w:t>
      </w:r>
      <w:r w:rsidR="00F3522A">
        <w:t xml:space="preserve"> </w:t>
      </w:r>
      <w:r>
        <w:t>particularly as they apply to men learning informally through life, beyond the workplace.</w:t>
      </w:r>
      <w:r w:rsidR="00091BE0">
        <w:t xml:space="preserve"> </w:t>
      </w:r>
    </w:p>
    <w:p w:rsidR="00F76C0D" w:rsidRDefault="00F76C0D" w:rsidP="000D1D86">
      <w:pPr>
        <w:spacing w:before="120" w:after="120"/>
      </w:pPr>
    </w:p>
    <w:p w:rsidR="005601F0" w:rsidRDefault="005601F0" w:rsidP="003E2691">
      <w:pPr>
        <w:spacing w:before="120" w:after="120"/>
      </w:pPr>
    </w:p>
    <w:p w:rsidR="005601F0" w:rsidRPr="005601F0" w:rsidRDefault="005601F0">
      <w:pPr>
        <w:rPr>
          <w:b/>
        </w:rPr>
      </w:pPr>
      <w:r w:rsidRPr="005601F0">
        <w:rPr>
          <w:b/>
        </w:rPr>
        <w:t>References</w:t>
      </w:r>
    </w:p>
    <w:p w:rsidR="000D1D86" w:rsidRDefault="000D1D86" w:rsidP="000D1D86">
      <w:pPr>
        <w:spacing w:before="120" w:after="120"/>
      </w:pPr>
    </w:p>
    <w:p w:rsidR="00DE3618" w:rsidRPr="00085AFE" w:rsidRDefault="00DE3618" w:rsidP="00EE2948">
      <w:pPr>
        <w:spacing w:before="120" w:after="120"/>
        <w:ind w:left="567" w:hanging="567"/>
        <w:rPr>
          <w:sz w:val="20"/>
        </w:rPr>
      </w:pPr>
      <w:r w:rsidRPr="00085AFE">
        <w:rPr>
          <w:sz w:val="20"/>
        </w:rPr>
        <w:t xml:space="preserve">Bailey, I. &amp; Coleman, U. (1998) </w:t>
      </w:r>
      <w:r w:rsidR="00CD6748" w:rsidRPr="00085AFE">
        <w:rPr>
          <w:i/>
          <w:sz w:val="20"/>
        </w:rPr>
        <w:t>Access and Participation in Adult Literacy S</w:t>
      </w:r>
      <w:r w:rsidRPr="00085AFE">
        <w:rPr>
          <w:i/>
          <w:sz w:val="20"/>
        </w:rPr>
        <w:t>chemes in Ireland</w:t>
      </w:r>
      <w:r w:rsidRPr="00085AFE">
        <w:rPr>
          <w:sz w:val="20"/>
        </w:rPr>
        <w:t>. Dublin: NALA.</w:t>
      </w:r>
    </w:p>
    <w:p w:rsidR="00DE3618" w:rsidRPr="00085AFE" w:rsidRDefault="00DE3618" w:rsidP="00EE2948">
      <w:pPr>
        <w:spacing w:before="120" w:after="120"/>
        <w:ind w:left="567" w:hanging="567"/>
        <w:rPr>
          <w:sz w:val="20"/>
        </w:rPr>
      </w:pPr>
      <w:r w:rsidRPr="00085AFE">
        <w:rPr>
          <w:sz w:val="20"/>
        </w:rPr>
        <w:t xml:space="preserve">Boshier, R. (1973) Educational participation and dropout: A theoretical model, </w:t>
      </w:r>
      <w:r w:rsidRPr="00085AFE">
        <w:rPr>
          <w:i/>
          <w:sz w:val="20"/>
        </w:rPr>
        <w:t>Adult Education</w:t>
      </w:r>
      <w:r w:rsidRPr="00085AFE">
        <w:rPr>
          <w:sz w:val="20"/>
        </w:rPr>
        <w:t xml:space="preserve"> 23</w:t>
      </w:r>
      <w:r w:rsidR="00CD6748" w:rsidRPr="00085AFE">
        <w:rPr>
          <w:sz w:val="20"/>
        </w:rPr>
        <w:t xml:space="preserve"> </w:t>
      </w:r>
      <w:r w:rsidRPr="00085AFE">
        <w:rPr>
          <w:sz w:val="20"/>
        </w:rPr>
        <w:t>(4)</w:t>
      </w:r>
      <w:r w:rsidR="0060078D" w:rsidRPr="00085AFE">
        <w:rPr>
          <w:sz w:val="20"/>
        </w:rPr>
        <w:t>,</w:t>
      </w:r>
      <w:r w:rsidRPr="00085AFE">
        <w:rPr>
          <w:sz w:val="20"/>
        </w:rPr>
        <w:t xml:space="preserve"> pp.</w:t>
      </w:r>
      <w:r w:rsidR="00CD6748" w:rsidRPr="00085AFE">
        <w:rPr>
          <w:sz w:val="20"/>
        </w:rPr>
        <w:t xml:space="preserve"> </w:t>
      </w:r>
      <w:r w:rsidR="00C2422E" w:rsidRPr="00085AFE">
        <w:rPr>
          <w:sz w:val="20"/>
        </w:rPr>
        <w:t>255-</w:t>
      </w:r>
      <w:r w:rsidRPr="00085AFE">
        <w:rPr>
          <w:sz w:val="20"/>
        </w:rPr>
        <w:t>82.</w:t>
      </w:r>
    </w:p>
    <w:p w:rsidR="00655971" w:rsidRPr="00085AFE" w:rsidRDefault="00DE3618" w:rsidP="00EE2948">
      <w:pPr>
        <w:spacing w:before="120" w:after="120"/>
        <w:ind w:left="567" w:hanging="567"/>
        <w:rPr>
          <w:sz w:val="20"/>
        </w:rPr>
      </w:pPr>
      <w:r w:rsidRPr="00085AFE">
        <w:rPr>
          <w:sz w:val="20"/>
        </w:rPr>
        <w:t>Bourdieu, P. (1986) The forms of capital, in J. Richardson (Ed</w:t>
      </w:r>
      <w:r w:rsidRPr="00085AFE">
        <w:rPr>
          <w:i/>
          <w:sz w:val="20"/>
        </w:rPr>
        <w:t>.</w:t>
      </w:r>
      <w:r w:rsidRPr="00085AFE">
        <w:rPr>
          <w:sz w:val="20"/>
        </w:rPr>
        <w:t>)</w:t>
      </w:r>
      <w:r w:rsidRPr="00085AFE">
        <w:rPr>
          <w:i/>
          <w:sz w:val="20"/>
        </w:rPr>
        <w:t xml:space="preserve"> H</w:t>
      </w:r>
      <w:r w:rsidR="00CD6748" w:rsidRPr="00085AFE">
        <w:rPr>
          <w:i/>
          <w:sz w:val="20"/>
        </w:rPr>
        <w:t>andbook of Theory and Research for the S</w:t>
      </w:r>
      <w:r w:rsidRPr="00085AFE">
        <w:rPr>
          <w:i/>
          <w:sz w:val="20"/>
        </w:rPr>
        <w:t xml:space="preserve">ociology </w:t>
      </w:r>
      <w:r w:rsidR="00CD6748" w:rsidRPr="00085AFE">
        <w:rPr>
          <w:i/>
          <w:sz w:val="20"/>
        </w:rPr>
        <w:t>of C</w:t>
      </w:r>
      <w:r w:rsidRPr="00085AFE">
        <w:rPr>
          <w:i/>
          <w:sz w:val="20"/>
        </w:rPr>
        <w:t>apital</w:t>
      </w:r>
      <w:r w:rsidRPr="00085AFE">
        <w:rPr>
          <w:sz w:val="20"/>
        </w:rPr>
        <w:t>. New York: Greenwood Press, pp.</w:t>
      </w:r>
      <w:r w:rsidR="00CD6748" w:rsidRPr="00085AFE">
        <w:rPr>
          <w:sz w:val="20"/>
        </w:rPr>
        <w:t xml:space="preserve"> </w:t>
      </w:r>
      <w:r w:rsidRPr="00085AFE">
        <w:rPr>
          <w:sz w:val="20"/>
        </w:rPr>
        <w:t>241-58.</w:t>
      </w:r>
    </w:p>
    <w:p w:rsidR="003750FF" w:rsidRPr="00085AFE" w:rsidRDefault="00655971" w:rsidP="00EE2948">
      <w:pPr>
        <w:spacing w:before="120" w:after="120"/>
        <w:ind w:left="567" w:hanging="567"/>
        <w:rPr>
          <w:sz w:val="20"/>
        </w:rPr>
      </w:pPr>
      <w:r w:rsidRPr="00085AFE">
        <w:rPr>
          <w:sz w:val="20"/>
        </w:rPr>
        <w:lastRenderedPageBreak/>
        <w:t>Bowl, M. &amp; Tobias, R. (2012) Gender, Masculinities and Lifelong Learning: Entering the Deb</w:t>
      </w:r>
      <w:r w:rsidR="00D94C9A" w:rsidRPr="00085AFE">
        <w:rPr>
          <w:sz w:val="20"/>
        </w:rPr>
        <w:t>ate, in M. Bowl, R. Tobias, J. L</w:t>
      </w:r>
      <w:r w:rsidRPr="00085AFE">
        <w:rPr>
          <w:sz w:val="20"/>
        </w:rPr>
        <w:t>eahy</w:t>
      </w:r>
      <w:r w:rsidR="00D94C9A" w:rsidRPr="00085AFE">
        <w:rPr>
          <w:sz w:val="20"/>
        </w:rPr>
        <w:t xml:space="preserve">, G. Ferguson &amp; J. Leahy, </w:t>
      </w:r>
      <w:r w:rsidR="00D94C9A" w:rsidRPr="00085AFE">
        <w:rPr>
          <w:i/>
          <w:sz w:val="20"/>
        </w:rPr>
        <w:t>Gender, Masculinities and Lifelong Learning</w:t>
      </w:r>
      <w:r w:rsidR="00D94C9A" w:rsidRPr="00085AFE">
        <w:rPr>
          <w:sz w:val="20"/>
        </w:rPr>
        <w:t>. Abingdon: Routledge, pp. 3-13.</w:t>
      </w:r>
    </w:p>
    <w:p w:rsidR="00DE3618" w:rsidRPr="00085AFE" w:rsidRDefault="003750FF" w:rsidP="00EE2948">
      <w:pPr>
        <w:spacing w:before="120" w:after="120"/>
        <w:ind w:left="567" w:hanging="567"/>
        <w:rPr>
          <w:sz w:val="20"/>
        </w:rPr>
      </w:pPr>
      <w:r w:rsidRPr="00085AFE">
        <w:rPr>
          <w:sz w:val="20"/>
        </w:rPr>
        <w:t>Cleary</w:t>
      </w:r>
      <w:r w:rsidR="0060078D" w:rsidRPr="00085AFE">
        <w:rPr>
          <w:sz w:val="20"/>
        </w:rPr>
        <w:t>, A., Corbett, M., Galvin, M &amp; Wall, J</w:t>
      </w:r>
      <w:r w:rsidR="0053722F" w:rsidRPr="00085AFE">
        <w:rPr>
          <w:sz w:val="20"/>
        </w:rPr>
        <w:t>.</w:t>
      </w:r>
      <w:r w:rsidRPr="00085AFE">
        <w:rPr>
          <w:sz w:val="20"/>
        </w:rPr>
        <w:t xml:space="preserve"> </w:t>
      </w:r>
      <w:r w:rsidR="0060078D" w:rsidRPr="00085AFE">
        <w:rPr>
          <w:sz w:val="20"/>
        </w:rPr>
        <w:t xml:space="preserve">(2004) </w:t>
      </w:r>
      <w:r w:rsidR="0060078D" w:rsidRPr="00085AFE">
        <w:rPr>
          <w:i/>
          <w:sz w:val="20"/>
        </w:rPr>
        <w:t>Young Men on the Margins</w:t>
      </w:r>
      <w:r w:rsidR="0060078D" w:rsidRPr="00085AFE">
        <w:rPr>
          <w:sz w:val="20"/>
        </w:rPr>
        <w:t>, Dublin: The Katharine Howard Foundation.</w:t>
      </w:r>
    </w:p>
    <w:p w:rsidR="00DE3618" w:rsidRPr="00085AFE" w:rsidRDefault="00DE3618" w:rsidP="00EE2948">
      <w:pPr>
        <w:spacing w:before="120" w:after="120"/>
        <w:ind w:left="567" w:hanging="567"/>
        <w:rPr>
          <w:sz w:val="20"/>
        </w:rPr>
      </w:pPr>
      <w:r w:rsidRPr="00085AFE">
        <w:rPr>
          <w:sz w:val="20"/>
        </w:rPr>
        <w:t xml:space="preserve">Colley, H., Hodgkinson, P. &amp; Malcolm, J. (2002) </w:t>
      </w:r>
      <w:r w:rsidR="00CD6748" w:rsidRPr="00085AFE">
        <w:rPr>
          <w:i/>
          <w:sz w:val="20"/>
        </w:rPr>
        <w:t>Non formal L</w:t>
      </w:r>
      <w:r w:rsidRPr="00085AFE">
        <w:rPr>
          <w:i/>
          <w:sz w:val="20"/>
        </w:rPr>
        <w:t>earning: M</w:t>
      </w:r>
      <w:r w:rsidR="00CD6748" w:rsidRPr="00085AFE">
        <w:rPr>
          <w:i/>
          <w:sz w:val="20"/>
        </w:rPr>
        <w:t>apping the Conceptual T</w:t>
      </w:r>
      <w:r w:rsidRPr="00085AFE">
        <w:rPr>
          <w:i/>
          <w:sz w:val="20"/>
        </w:rPr>
        <w:t>errain</w:t>
      </w:r>
      <w:r w:rsidR="00CD6748" w:rsidRPr="00085AFE">
        <w:rPr>
          <w:i/>
          <w:sz w:val="20"/>
        </w:rPr>
        <w:t>. A Consultation R</w:t>
      </w:r>
      <w:r w:rsidRPr="00085AFE">
        <w:rPr>
          <w:i/>
          <w:sz w:val="20"/>
        </w:rPr>
        <w:t>eport</w:t>
      </w:r>
      <w:r w:rsidR="00CD6748" w:rsidRPr="00085AFE">
        <w:rPr>
          <w:sz w:val="20"/>
        </w:rPr>
        <w:t xml:space="preserve">, Accessed 3 January 2008 from </w:t>
      </w:r>
      <w:hyperlink r:id="rId8" w:history="1">
        <w:r w:rsidRPr="00085AFE">
          <w:rPr>
            <w:rStyle w:val="Hyperlink"/>
            <w:sz w:val="20"/>
          </w:rPr>
          <w:t>www.infed.org/archives/e-texts/colley_informal_learning.htm</w:t>
        </w:r>
      </w:hyperlink>
      <w:r w:rsidRPr="00085AFE">
        <w:rPr>
          <w:sz w:val="20"/>
        </w:rPr>
        <w:t xml:space="preserve">.   </w:t>
      </w:r>
    </w:p>
    <w:p w:rsidR="00DE3618" w:rsidRPr="00085AFE" w:rsidRDefault="00DE3618" w:rsidP="00EE2948">
      <w:pPr>
        <w:spacing w:before="120" w:after="120"/>
        <w:ind w:left="567" w:hanging="567"/>
        <w:rPr>
          <w:sz w:val="20"/>
        </w:rPr>
      </w:pPr>
      <w:r w:rsidRPr="00085AFE">
        <w:rPr>
          <w:sz w:val="20"/>
        </w:rPr>
        <w:t>Comerford, S. (20</w:t>
      </w:r>
      <w:r w:rsidR="00B36FB7" w:rsidRPr="00085AFE">
        <w:rPr>
          <w:sz w:val="20"/>
        </w:rPr>
        <w:t xml:space="preserve">05) Engaging through learning, </w:t>
      </w:r>
      <w:r w:rsidRPr="00085AFE">
        <w:rPr>
          <w:sz w:val="20"/>
        </w:rPr>
        <w:t>learning through engaging: An alternative approach to professional learning about human diversity</w:t>
      </w:r>
      <w:r w:rsidRPr="00085AFE">
        <w:rPr>
          <w:i/>
          <w:sz w:val="20"/>
        </w:rPr>
        <w:t xml:space="preserve">, Social Work Education </w:t>
      </w:r>
      <w:r w:rsidRPr="00085AFE">
        <w:rPr>
          <w:sz w:val="20"/>
        </w:rPr>
        <w:t>24 (1)</w:t>
      </w:r>
      <w:r w:rsidR="00CD6748" w:rsidRPr="00085AFE">
        <w:rPr>
          <w:sz w:val="20"/>
        </w:rPr>
        <w:t>,</w:t>
      </w:r>
      <w:r w:rsidRPr="00085AFE">
        <w:rPr>
          <w:sz w:val="20"/>
        </w:rPr>
        <w:t xml:space="preserve"> pp.</w:t>
      </w:r>
      <w:r w:rsidR="00CD6748" w:rsidRPr="00085AFE">
        <w:rPr>
          <w:sz w:val="20"/>
        </w:rPr>
        <w:t xml:space="preserve"> </w:t>
      </w:r>
      <w:r w:rsidR="00C2422E" w:rsidRPr="00085AFE">
        <w:rPr>
          <w:sz w:val="20"/>
        </w:rPr>
        <w:t>113-</w:t>
      </w:r>
      <w:r w:rsidRPr="00085AFE">
        <w:rPr>
          <w:sz w:val="20"/>
        </w:rPr>
        <w:t>35.</w:t>
      </w:r>
    </w:p>
    <w:p w:rsidR="00DE3618" w:rsidRPr="00085AFE" w:rsidRDefault="00DE3618" w:rsidP="00EE2948">
      <w:pPr>
        <w:spacing w:before="120" w:after="120"/>
        <w:ind w:left="567" w:hanging="567"/>
        <w:rPr>
          <w:sz w:val="20"/>
        </w:rPr>
      </w:pPr>
      <w:r w:rsidRPr="00085AFE">
        <w:rPr>
          <w:sz w:val="20"/>
        </w:rPr>
        <w:t xml:space="preserve">Corridan, M. (2002) </w:t>
      </w:r>
      <w:r w:rsidR="00CD6748" w:rsidRPr="00085AFE">
        <w:rPr>
          <w:i/>
          <w:sz w:val="20"/>
        </w:rPr>
        <w:t>Moving from the Margins: A S</w:t>
      </w:r>
      <w:r w:rsidR="006B07B5" w:rsidRPr="00085AFE">
        <w:rPr>
          <w:i/>
          <w:sz w:val="20"/>
        </w:rPr>
        <w:t>tudy of Male P</w:t>
      </w:r>
      <w:r w:rsidRPr="00085AFE">
        <w:rPr>
          <w:i/>
          <w:sz w:val="20"/>
        </w:rPr>
        <w:t>a</w:t>
      </w:r>
      <w:r w:rsidR="006B07B5" w:rsidRPr="00085AFE">
        <w:rPr>
          <w:i/>
          <w:sz w:val="20"/>
        </w:rPr>
        <w:t>rticipation in Adult Literacy E</w:t>
      </w:r>
      <w:r w:rsidRPr="00085AFE">
        <w:rPr>
          <w:i/>
          <w:sz w:val="20"/>
        </w:rPr>
        <w:t>ducation</w:t>
      </w:r>
      <w:r w:rsidRPr="00085AFE">
        <w:rPr>
          <w:sz w:val="20"/>
        </w:rPr>
        <w:t>. Dublin: Dublin Adult Learning Centre.</w:t>
      </w:r>
    </w:p>
    <w:p w:rsidR="00DE3618" w:rsidRPr="00085AFE" w:rsidRDefault="00DE3618" w:rsidP="00EE2948">
      <w:pPr>
        <w:spacing w:before="120" w:after="120"/>
        <w:ind w:left="567" w:hanging="567"/>
        <w:rPr>
          <w:sz w:val="20"/>
        </w:rPr>
      </w:pPr>
      <w:r w:rsidRPr="00085AFE">
        <w:rPr>
          <w:sz w:val="20"/>
        </w:rPr>
        <w:t xml:space="preserve">Courtney, S. (1991) </w:t>
      </w:r>
      <w:r w:rsidR="006B07B5" w:rsidRPr="00085AFE">
        <w:rPr>
          <w:i/>
          <w:sz w:val="20"/>
        </w:rPr>
        <w:t>Why Adults L</w:t>
      </w:r>
      <w:r w:rsidRPr="00085AFE">
        <w:rPr>
          <w:i/>
          <w:sz w:val="20"/>
        </w:rPr>
        <w:t>earn: T</w:t>
      </w:r>
      <w:r w:rsidR="006B07B5" w:rsidRPr="00085AFE">
        <w:rPr>
          <w:i/>
          <w:sz w:val="20"/>
        </w:rPr>
        <w:t>owards a Theory of Participation in Adult L</w:t>
      </w:r>
      <w:r w:rsidRPr="00085AFE">
        <w:rPr>
          <w:i/>
          <w:sz w:val="20"/>
        </w:rPr>
        <w:t>earning</w:t>
      </w:r>
      <w:r w:rsidRPr="00085AFE">
        <w:rPr>
          <w:sz w:val="20"/>
        </w:rPr>
        <w:t>. San Francisco: Jossey-Bass.</w:t>
      </w:r>
    </w:p>
    <w:p w:rsidR="00DE3618" w:rsidRPr="00085AFE" w:rsidRDefault="00DE3618" w:rsidP="00EE2948">
      <w:pPr>
        <w:spacing w:before="120" w:after="120"/>
        <w:ind w:left="567" w:hanging="567"/>
        <w:rPr>
          <w:sz w:val="20"/>
        </w:rPr>
      </w:pPr>
      <w:r w:rsidRPr="00085AFE">
        <w:rPr>
          <w:sz w:val="20"/>
        </w:rPr>
        <w:t xml:space="preserve">Cross, K. (1981) </w:t>
      </w:r>
      <w:r w:rsidR="006B07B5" w:rsidRPr="00085AFE">
        <w:rPr>
          <w:i/>
          <w:sz w:val="20"/>
        </w:rPr>
        <w:t>Adults as L</w:t>
      </w:r>
      <w:r w:rsidRPr="00085AFE">
        <w:rPr>
          <w:i/>
          <w:sz w:val="20"/>
        </w:rPr>
        <w:t>earners</w:t>
      </w:r>
      <w:r w:rsidR="006B07B5" w:rsidRPr="00085AFE">
        <w:rPr>
          <w:i/>
          <w:sz w:val="20"/>
        </w:rPr>
        <w:t>: Increasing Participation and Facilitating L</w:t>
      </w:r>
      <w:r w:rsidRPr="00085AFE">
        <w:rPr>
          <w:i/>
          <w:sz w:val="20"/>
        </w:rPr>
        <w:t>earning</w:t>
      </w:r>
      <w:r w:rsidRPr="00085AFE">
        <w:rPr>
          <w:sz w:val="20"/>
        </w:rPr>
        <w:t>. San Francisco: Jossey-Bass.</w:t>
      </w:r>
    </w:p>
    <w:p w:rsidR="00DE3618" w:rsidRPr="00085AFE" w:rsidRDefault="00DE3618" w:rsidP="00EE2948">
      <w:pPr>
        <w:spacing w:before="120" w:after="120"/>
        <w:ind w:left="567" w:hanging="567"/>
        <w:rPr>
          <w:sz w:val="20"/>
        </w:rPr>
      </w:pPr>
      <w:r w:rsidRPr="00085AFE">
        <w:rPr>
          <w:sz w:val="20"/>
        </w:rPr>
        <w:t>De Brún, T. &amp; Du Vivier, E. (2008</w:t>
      </w:r>
      <w:r w:rsidR="006B07B5" w:rsidRPr="00085AFE">
        <w:rPr>
          <w:i/>
          <w:sz w:val="20"/>
        </w:rPr>
        <w:t>) Men Alone in no Man’s L</w:t>
      </w:r>
      <w:r w:rsidRPr="00085AFE">
        <w:rPr>
          <w:i/>
          <w:sz w:val="20"/>
        </w:rPr>
        <w:t>and: A</w:t>
      </w:r>
      <w:r w:rsidR="006B07B5" w:rsidRPr="00085AFE">
        <w:rPr>
          <w:i/>
          <w:sz w:val="20"/>
        </w:rPr>
        <w:t xml:space="preserve"> Study of the Needs of Socially Excluded Males in Dublin’s Inner C</w:t>
      </w:r>
      <w:r w:rsidRPr="00085AFE">
        <w:rPr>
          <w:i/>
          <w:sz w:val="20"/>
        </w:rPr>
        <w:t>ity</w:t>
      </w:r>
      <w:r w:rsidRPr="00085AFE">
        <w:rPr>
          <w:sz w:val="20"/>
        </w:rPr>
        <w:t>. Dublin: Dublin Inner City Partnership.</w:t>
      </w:r>
    </w:p>
    <w:p w:rsidR="00DE3618" w:rsidRPr="00085AFE" w:rsidRDefault="00DE3618" w:rsidP="00EE2948">
      <w:pPr>
        <w:spacing w:before="120" w:after="120"/>
        <w:ind w:left="567" w:hanging="567"/>
        <w:rPr>
          <w:sz w:val="20"/>
        </w:rPr>
      </w:pPr>
      <w:r w:rsidRPr="00085AFE">
        <w:rPr>
          <w:sz w:val="20"/>
        </w:rPr>
        <w:t xml:space="preserve">Formosa, M. (2012) Four decades of universities of the third age: past, present, future. </w:t>
      </w:r>
      <w:r w:rsidRPr="00085AFE">
        <w:rPr>
          <w:i/>
          <w:sz w:val="20"/>
        </w:rPr>
        <w:t>Ageing and Society</w:t>
      </w:r>
      <w:r w:rsidRPr="00085AFE">
        <w:rPr>
          <w:sz w:val="20"/>
        </w:rPr>
        <w:t xml:space="preserve">, available on CJO2012. doi:10.1017/S0144686X12000797. </w:t>
      </w:r>
    </w:p>
    <w:p w:rsidR="00DE3618" w:rsidRPr="00085AFE" w:rsidRDefault="00DE3618" w:rsidP="00EE2948">
      <w:pPr>
        <w:spacing w:before="120" w:after="120"/>
        <w:ind w:left="567" w:hanging="567"/>
        <w:rPr>
          <w:sz w:val="20"/>
        </w:rPr>
      </w:pPr>
      <w:r w:rsidRPr="00085AFE">
        <w:rPr>
          <w:sz w:val="20"/>
        </w:rPr>
        <w:t>Foucault</w:t>
      </w:r>
      <w:r w:rsidR="00B36FB7" w:rsidRPr="00085AFE">
        <w:rPr>
          <w:sz w:val="20"/>
        </w:rPr>
        <w:t>, M.</w:t>
      </w:r>
      <w:r w:rsidRPr="00085AFE">
        <w:rPr>
          <w:sz w:val="20"/>
        </w:rPr>
        <w:t xml:space="preserve"> (</w:t>
      </w:r>
      <w:r w:rsidR="00B36FB7" w:rsidRPr="00085AFE">
        <w:rPr>
          <w:sz w:val="20"/>
        </w:rPr>
        <w:t>1988</w:t>
      </w:r>
      <w:r w:rsidRPr="00085AFE">
        <w:rPr>
          <w:sz w:val="20"/>
        </w:rPr>
        <w:t xml:space="preserve">) </w:t>
      </w:r>
      <w:r w:rsidR="00C2422E" w:rsidRPr="00085AFE">
        <w:rPr>
          <w:i/>
          <w:sz w:val="20"/>
        </w:rPr>
        <w:t>Power/Knowledge: Selected Interviews and other W</w:t>
      </w:r>
      <w:r w:rsidR="00B36FB7" w:rsidRPr="00085AFE">
        <w:rPr>
          <w:i/>
          <w:sz w:val="20"/>
        </w:rPr>
        <w:t>ritings, 1972-1977.</w:t>
      </w:r>
      <w:r w:rsidR="00B36FB7" w:rsidRPr="00085AFE">
        <w:rPr>
          <w:sz w:val="20"/>
        </w:rPr>
        <w:t xml:space="preserve"> USA: Random House.</w:t>
      </w:r>
    </w:p>
    <w:p w:rsidR="00DE3618" w:rsidRPr="00085AFE" w:rsidRDefault="00DE3618" w:rsidP="00EE2948">
      <w:pPr>
        <w:spacing w:before="120" w:after="120"/>
        <w:ind w:left="567" w:hanging="567"/>
        <w:rPr>
          <w:sz w:val="20"/>
        </w:rPr>
      </w:pPr>
      <w:r w:rsidRPr="00085AFE">
        <w:rPr>
          <w:sz w:val="20"/>
        </w:rPr>
        <w:t xml:space="preserve">Golding, B. (2010) The big picture on men’s (and boy’s) learning, </w:t>
      </w:r>
      <w:r w:rsidRPr="00085AFE">
        <w:rPr>
          <w:i/>
          <w:sz w:val="20"/>
        </w:rPr>
        <w:t xml:space="preserve">Australian Journal of Adult Learning </w:t>
      </w:r>
      <w:r w:rsidRPr="00085AFE">
        <w:rPr>
          <w:sz w:val="20"/>
        </w:rPr>
        <w:t>50</w:t>
      </w:r>
      <w:r w:rsidR="00C2422E" w:rsidRPr="00085AFE">
        <w:rPr>
          <w:sz w:val="20"/>
        </w:rPr>
        <w:t xml:space="preserve"> </w:t>
      </w:r>
      <w:r w:rsidR="00293792" w:rsidRPr="00085AFE">
        <w:rPr>
          <w:sz w:val="20"/>
        </w:rPr>
        <w:t>(</w:t>
      </w:r>
      <w:r w:rsidRPr="00085AFE">
        <w:rPr>
          <w:sz w:val="20"/>
        </w:rPr>
        <w:t>1</w:t>
      </w:r>
      <w:r w:rsidR="00293792" w:rsidRPr="00085AFE">
        <w:rPr>
          <w:sz w:val="20"/>
        </w:rPr>
        <w:t>)</w:t>
      </w:r>
      <w:r w:rsidR="00C2422E" w:rsidRPr="00085AFE">
        <w:rPr>
          <w:sz w:val="20"/>
        </w:rPr>
        <w:t>,</w:t>
      </w:r>
      <w:r w:rsidRPr="00085AFE">
        <w:rPr>
          <w:sz w:val="20"/>
        </w:rPr>
        <w:t xml:space="preserve"> pp.</w:t>
      </w:r>
      <w:r w:rsidR="00C2422E" w:rsidRPr="00085AFE">
        <w:rPr>
          <w:sz w:val="20"/>
        </w:rPr>
        <w:t xml:space="preserve"> </w:t>
      </w:r>
      <w:r w:rsidRPr="00085AFE">
        <w:rPr>
          <w:sz w:val="20"/>
        </w:rPr>
        <w:t>54-74.</w:t>
      </w:r>
    </w:p>
    <w:p w:rsidR="00DE3618" w:rsidRPr="00085AFE" w:rsidRDefault="00DE3618" w:rsidP="00EE2948">
      <w:pPr>
        <w:spacing w:before="120" w:after="120"/>
        <w:ind w:left="567" w:hanging="567"/>
        <w:rPr>
          <w:sz w:val="20"/>
        </w:rPr>
      </w:pPr>
      <w:r w:rsidRPr="00085AFE">
        <w:rPr>
          <w:sz w:val="20"/>
        </w:rPr>
        <w:t xml:space="preserve">Golding, B., Brown, M. &amp; Foley, A. (2009) Informal learning: A discussion around defining and researching its depth and breadth, </w:t>
      </w:r>
      <w:r w:rsidRPr="00085AFE">
        <w:rPr>
          <w:i/>
          <w:sz w:val="20"/>
        </w:rPr>
        <w:t>Australian Journal of Adult Learning</w:t>
      </w:r>
      <w:r w:rsidRPr="00085AFE">
        <w:rPr>
          <w:sz w:val="20"/>
        </w:rPr>
        <w:t>, 49</w:t>
      </w:r>
      <w:r w:rsidR="00C2422E" w:rsidRPr="00085AFE">
        <w:rPr>
          <w:sz w:val="20"/>
        </w:rPr>
        <w:t xml:space="preserve"> </w:t>
      </w:r>
      <w:r w:rsidRPr="00085AFE">
        <w:rPr>
          <w:sz w:val="20"/>
        </w:rPr>
        <w:t>(1)</w:t>
      </w:r>
      <w:r w:rsidR="00C2422E" w:rsidRPr="00085AFE">
        <w:rPr>
          <w:sz w:val="20"/>
        </w:rPr>
        <w:t>,</w:t>
      </w:r>
      <w:r w:rsidRPr="00085AFE">
        <w:rPr>
          <w:sz w:val="20"/>
        </w:rPr>
        <w:t xml:space="preserve"> pp.</w:t>
      </w:r>
      <w:r w:rsidR="00C2422E" w:rsidRPr="00085AFE">
        <w:rPr>
          <w:sz w:val="20"/>
        </w:rPr>
        <w:t xml:space="preserve"> </w:t>
      </w:r>
      <w:r w:rsidRPr="00085AFE">
        <w:rPr>
          <w:sz w:val="20"/>
        </w:rPr>
        <w:t>34-56.</w:t>
      </w:r>
    </w:p>
    <w:p w:rsidR="00DE3618" w:rsidRPr="00085AFE" w:rsidRDefault="00DE3618" w:rsidP="00EE2948">
      <w:pPr>
        <w:spacing w:before="120" w:after="120"/>
        <w:ind w:left="567" w:hanging="567"/>
        <w:rPr>
          <w:sz w:val="20"/>
        </w:rPr>
      </w:pPr>
      <w:r w:rsidRPr="00085AFE">
        <w:rPr>
          <w:sz w:val="20"/>
        </w:rPr>
        <w:t xml:space="preserve">Gorard, S. (2010) Participation in learning: Barriers to learning, in C. Cooper, J. Field, U. Goswami, R. Jenkins &amp; B. Sahakian, </w:t>
      </w:r>
      <w:r w:rsidR="00C2422E" w:rsidRPr="00085AFE">
        <w:rPr>
          <w:i/>
          <w:sz w:val="20"/>
        </w:rPr>
        <w:t>Mental Capital and W</w:t>
      </w:r>
      <w:r w:rsidRPr="00085AFE">
        <w:rPr>
          <w:i/>
          <w:sz w:val="20"/>
        </w:rPr>
        <w:t>ellbeing</w:t>
      </w:r>
      <w:r w:rsidRPr="00085AFE">
        <w:rPr>
          <w:sz w:val="20"/>
        </w:rPr>
        <w:t>. Chichester: Wiley-Blackwell, pp.</w:t>
      </w:r>
      <w:r w:rsidR="00C2422E" w:rsidRPr="00085AFE">
        <w:rPr>
          <w:sz w:val="20"/>
        </w:rPr>
        <w:t xml:space="preserve"> </w:t>
      </w:r>
      <w:r w:rsidRPr="00085AFE">
        <w:rPr>
          <w:sz w:val="20"/>
        </w:rPr>
        <w:t>35</w:t>
      </w:r>
      <w:r w:rsidR="00C2422E" w:rsidRPr="00085AFE">
        <w:rPr>
          <w:sz w:val="20"/>
        </w:rPr>
        <w:t>1-</w:t>
      </w:r>
      <w:r w:rsidRPr="00085AFE">
        <w:rPr>
          <w:sz w:val="20"/>
        </w:rPr>
        <w:t>60.</w:t>
      </w:r>
    </w:p>
    <w:p w:rsidR="00DE3618" w:rsidRPr="00085AFE" w:rsidRDefault="00DE3618" w:rsidP="00EE2948">
      <w:pPr>
        <w:spacing w:before="120" w:after="120"/>
        <w:ind w:left="567" w:hanging="567"/>
        <w:rPr>
          <w:sz w:val="20"/>
        </w:rPr>
      </w:pPr>
      <w:r w:rsidRPr="00085AFE">
        <w:rPr>
          <w:sz w:val="20"/>
        </w:rPr>
        <w:t xml:space="preserve">Hager, P. (1998) Recognition of informal learning: Challenges and issues, </w:t>
      </w:r>
      <w:r w:rsidRPr="00085AFE">
        <w:rPr>
          <w:i/>
          <w:sz w:val="20"/>
        </w:rPr>
        <w:t xml:space="preserve">Journal of Vocational Education and Training </w:t>
      </w:r>
      <w:r w:rsidRPr="00085AFE">
        <w:rPr>
          <w:sz w:val="20"/>
        </w:rPr>
        <w:t>50</w:t>
      </w:r>
      <w:r w:rsidR="00C2422E" w:rsidRPr="00085AFE">
        <w:rPr>
          <w:sz w:val="20"/>
        </w:rPr>
        <w:t xml:space="preserve"> </w:t>
      </w:r>
      <w:r w:rsidRPr="00085AFE">
        <w:rPr>
          <w:sz w:val="20"/>
        </w:rPr>
        <w:t>(4)</w:t>
      </w:r>
      <w:r w:rsidR="00C2422E" w:rsidRPr="00085AFE">
        <w:rPr>
          <w:sz w:val="20"/>
        </w:rPr>
        <w:t>, pp.</w:t>
      </w:r>
      <w:r w:rsidR="003750FF" w:rsidRPr="00085AFE">
        <w:rPr>
          <w:sz w:val="20"/>
        </w:rPr>
        <w:t xml:space="preserve"> </w:t>
      </w:r>
      <w:r w:rsidR="00C2422E" w:rsidRPr="00085AFE">
        <w:rPr>
          <w:sz w:val="20"/>
        </w:rPr>
        <w:t>521-</w:t>
      </w:r>
      <w:r w:rsidRPr="00085AFE">
        <w:rPr>
          <w:sz w:val="20"/>
        </w:rPr>
        <w:t>35.</w:t>
      </w:r>
    </w:p>
    <w:p w:rsidR="003750FF" w:rsidRPr="00085AFE" w:rsidRDefault="00DE3618" w:rsidP="00EE2948">
      <w:pPr>
        <w:ind w:left="567" w:hanging="567"/>
        <w:rPr>
          <w:sz w:val="20"/>
        </w:rPr>
      </w:pPr>
      <w:r w:rsidRPr="00085AFE">
        <w:rPr>
          <w:sz w:val="20"/>
        </w:rPr>
        <w:t xml:space="preserve">Jha, J. &amp; Kelleher, F. (2006) </w:t>
      </w:r>
      <w:r w:rsidR="00C2422E" w:rsidRPr="00085AFE">
        <w:rPr>
          <w:i/>
          <w:sz w:val="20"/>
        </w:rPr>
        <w:t>Boys’ Underachievement in Education: An Exploration in Selected Commonwealth C</w:t>
      </w:r>
      <w:r w:rsidRPr="00085AFE">
        <w:rPr>
          <w:i/>
          <w:sz w:val="20"/>
        </w:rPr>
        <w:t>ountries</w:t>
      </w:r>
      <w:r w:rsidRPr="00085AFE">
        <w:rPr>
          <w:sz w:val="20"/>
        </w:rPr>
        <w:t>. London: Commonwealth Secretariat and Commonwealth of Learning.</w:t>
      </w:r>
    </w:p>
    <w:p w:rsidR="00DE3618" w:rsidRPr="00085AFE" w:rsidRDefault="003750FF" w:rsidP="00EE2948">
      <w:pPr>
        <w:ind w:left="567" w:hanging="567"/>
        <w:rPr>
          <w:sz w:val="20"/>
        </w:rPr>
      </w:pPr>
      <w:r w:rsidRPr="00085AFE">
        <w:rPr>
          <w:sz w:val="20"/>
        </w:rPr>
        <w:t xml:space="preserve">Lave, J. and Wenger, E. 1991. </w:t>
      </w:r>
      <w:r w:rsidRPr="00085AFE">
        <w:rPr>
          <w:i/>
          <w:sz w:val="20"/>
        </w:rPr>
        <w:t>Situated Learning: Legitimate Peripheral Participation</w:t>
      </w:r>
      <w:r w:rsidRPr="00085AFE">
        <w:rPr>
          <w:sz w:val="20"/>
        </w:rPr>
        <w:t>. Cambridge: Cambridge University Press.</w:t>
      </w:r>
    </w:p>
    <w:p w:rsidR="00DE3618" w:rsidRPr="00085AFE" w:rsidRDefault="00DE3618" w:rsidP="005601F0">
      <w:pPr>
        <w:ind w:left="567" w:hanging="567"/>
        <w:rPr>
          <w:sz w:val="20"/>
        </w:rPr>
      </w:pPr>
      <w:r w:rsidRPr="00085AFE">
        <w:rPr>
          <w:sz w:val="20"/>
        </w:rPr>
        <w:t xml:space="preserve">Livingstone, D. (2000) </w:t>
      </w:r>
      <w:r w:rsidR="00C2422E" w:rsidRPr="00085AFE">
        <w:rPr>
          <w:i/>
          <w:sz w:val="20"/>
        </w:rPr>
        <w:t>Exploring the Icebergs of Adult Learning: Findings of the First Survey of Informal Learning P</w:t>
      </w:r>
      <w:r w:rsidRPr="00085AFE">
        <w:rPr>
          <w:i/>
          <w:sz w:val="20"/>
        </w:rPr>
        <w:t>ractices</w:t>
      </w:r>
      <w:r w:rsidRPr="00085AFE">
        <w:rPr>
          <w:sz w:val="20"/>
        </w:rPr>
        <w:t xml:space="preserve">, (Canada) Accessed 2 April 2009 </w:t>
      </w:r>
      <w:hyperlink r:id="rId9" w:history="1">
        <w:r w:rsidRPr="00085AFE">
          <w:rPr>
            <w:rStyle w:val="Hyperlink"/>
            <w:sz w:val="20"/>
          </w:rPr>
          <w:t>www.oise.utoronto.ca/depts/sese/csew/nall/res/10exploring.htm</w:t>
        </w:r>
      </w:hyperlink>
      <w:r w:rsidRPr="00085AFE">
        <w:rPr>
          <w:sz w:val="20"/>
        </w:rPr>
        <w:t xml:space="preserve">. </w:t>
      </w:r>
    </w:p>
    <w:p w:rsidR="00DE3618" w:rsidRPr="00085AFE" w:rsidRDefault="00DE3618" w:rsidP="005601F0">
      <w:pPr>
        <w:ind w:left="567" w:hanging="567"/>
        <w:rPr>
          <w:sz w:val="20"/>
        </w:rPr>
      </w:pPr>
      <w:r w:rsidRPr="00085AFE">
        <w:rPr>
          <w:sz w:val="20"/>
        </w:rPr>
        <w:t xml:space="preserve">Maslow, A. (1954) </w:t>
      </w:r>
      <w:r w:rsidR="00C2422E" w:rsidRPr="00085AFE">
        <w:rPr>
          <w:i/>
          <w:sz w:val="20"/>
        </w:rPr>
        <w:t>Motivation and P</w:t>
      </w:r>
      <w:r w:rsidRPr="00085AFE">
        <w:rPr>
          <w:i/>
          <w:sz w:val="20"/>
        </w:rPr>
        <w:t>ersonality</w:t>
      </w:r>
      <w:r w:rsidRPr="00085AFE">
        <w:rPr>
          <w:sz w:val="20"/>
        </w:rPr>
        <w:t>. New York: Harper and Rowe.</w:t>
      </w:r>
    </w:p>
    <w:p w:rsidR="00DE3618" w:rsidRPr="00085AFE" w:rsidRDefault="00DE3618" w:rsidP="005601F0">
      <w:pPr>
        <w:ind w:left="567" w:hanging="567"/>
        <w:rPr>
          <w:sz w:val="20"/>
        </w:rPr>
      </w:pPr>
      <w:r w:rsidRPr="00085AFE">
        <w:rPr>
          <w:sz w:val="20"/>
        </w:rPr>
        <w:t xml:space="preserve">McGivney, V. (1990) </w:t>
      </w:r>
      <w:r w:rsidR="00C2422E" w:rsidRPr="00085AFE">
        <w:rPr>
          <w:i/>
          <w:sz w:val="20"/>
        </w:rPr>
        <w:t>Education’s for Other People: Access to E</w:t>
      </w:r>
      <w:r w:rsidRPr="00085AFE">
        <w:rPr>
          <w:i/>
          <w:sz w:val="20"/>
        </w:rPr>
        <w:t>ducat</w:t>
      </w:r>
      <w:r w:rsidR="00C2422E" w:rsidRPr="00085AFE">
        <w:rPr>
          <w:i/>
          <w:sz w:val="20"/>
        </w:rPr>
        <w:t>ion for Non-participant A</w:t>
      </w:r>
      <w:r w:rsidRPr="00085AFE">
        <w:rPr>
          <w:i/>
          <w:sz w:val="20"/>
        </w:rPr>
        <w:t>dults</w:t>
      </w:r>
      <w:r w:rsidRPr="00085AFE">
        <w:rPr>
          <w:sz w:val="20"/>
        </w:rPr>
        <w:t>. Leicester: NIACE.</w:t>
      </w:r>
    </w:p>
    <w:p w:rsidR="00DE3618" w:rsidRPr="00085AFE" w:rsidRDefault="00DE3618" w:rsidP="005601F0">
      <w:pPr>
        <w:ind w:left="567" w:hanging="567"/>
        <w:rPr>
          <w:sz w:val="20"/>
        </w:rPr>
      </w:pPr>
      <w:r w:rsidRPr="00085AFE">
        <w:rPr>
          <w:sz w:val="20"/>
        </w:rPr>
        <w:t>McGivney, V.</w:t>
      </w:r>
      <w:r w:rsidR="003750FF" w:rsidRPr="00085AFE">
        <w:rPr>
          <w:sz w:val="20"/>
        </w:rPr>
        <w:t xml:space="preserve"> (1999</w:t>
      </w:r>
      <w:r w:rsidRPr="00085AFE">
        <w:rPr>
          <w:sz w:val="20"/>
        </w:rPr>
        <w:t xml:space="preserve">) </w:t>
      </w:r>
      <w:r w:rsidR="00C2422E" w:rsidRPr="00085AFE">
        <w:rPr>
          <w:i/>
          <w:sz w:val="20"/>
        </w:rPr>
        <w:t>Excluded Men: Men who are Missing from Education and T</w:t>
      </w:r>
      <w:r w:rsidRPr="00085AFE">
        <w:rPr>
          <w:i/>
          <w:sz w:val="20"/>
        </w:rPr>
        <w:t>raining</w:t>
      </w:r>
      <w:r w:rsidRPr="00085AFE">
        <w:rPr>
          <w:sz w:val="20"/>
        </w:rPr>
        <w:t>. Leicester: NIACE.</w:t>
      </w:r>
    </w:p>
    <w:p w:rsidR="00DE3618" w:rsidRPr="00085AFE" w:rsidRDefault="00DE3618" w:rsidP="005601F0">
      <w:pPr>
        <w:ind w:left="567" w:hanging="567"/>
        <w:rPr>
          <w:sz w:val="20"/>
        </w:rPr>
      </w:pPr>
      <w:r w:rsidRPr="00085AFE">
        <w:rPr>
          <w:sz w:val="20"/>
        </w:rPr>
        <w:t xml:space="preserve">McGivney, V. (2003) Participation and non-participation: A review of the literature, in R. Edwards, S. Siemenski &amp; D. Zeldin (Eds.) </w:t>
      </w:r>
      <w:r w:rsidR="00C2422E" w:rsidRPr="00085AFE">
        <w:rPr>
          <w:i/>
          <w:sz w:val="20"/>
        </w:rPr>
        <w:t>Adult Learners, Education and T</w:t>
      </w:r>
      <w:r w:rsidRPr="00085AFE">
        <w:rPr>
          <w:i/>
          <w:sz w:val="20"/>
        </w:rPr>
        <w:t>raining</w:t>
      </w:r>
      <w:r w:rsidRPr="00085AFE">
        <w:rPr>
          <w:sz w:val="20"/>
        </w:rPr>
        <w:t xml:space="preserve">. London: </w:t>
      </w:r>
      <w:r w:rsidR="00452310" w:rsidRPr="00085AFE">
        <w:rPr>
          <w:sz w:val="20"/>
        </w:rPr>
        <w:t>Routledge, pp.</w:t>
      </w:r>
      <w:r w:rsidR="00C2422E" w:rsidRPr="00085AFE">
        <w:rPr>
          <w:sz w:val="20"/>
        </w:rPr>
        <w:t xml:space="preserve"> </w:t>
      </w:r>
      <w:r w:rsidR="00452310" w:rsidRPr="00085AFE">
        <w:rPr>
          <w:sz w:val="20"/>
        </w:rPr>
        <w:t>11-30</w:t>
      </w:r>
      <w:r w:rsidRPr="00085AFE">
        <w:rPr>
          <w:sz w:val="20"/>
        </w:rPr>
        <w:t>.</w:t>
      </w:r>
    </w:p>
    <w:p w:rsidR="00DE3618" w:rsidRPr="00085AFE" w:rsidRDefault="00DE3618" w:rsidP="005601F0">
      <w:pPr>
        <w:ind w:left="567" w:hanging="567"/>
        <w:rPr>
          <w:sz w:val="20"/>
        </w:rPr>
      </w:pPr>
      <w:r w:rsidRPr="00085AFE">
        <w:rPr>
          <w:sz w:val="20"/>
        </w:rPr>
        <w:t xml:space="preserve">McGivney, V. (2004) </w:t>
      </w:r>
      <w:r w:rsidR="00C2422E" w:rsidRPr="00085AFE">
        <w:rPr>
          <w:i/>
          <w:sz w:val="20"/>
        </w:rPr>
        <w:t>Men Earn, Women Learn: Bridging the Gender Divide in Education and T</w:t>
      </w:r>
      <w:r w:rsidRPr="00085AFE">
        <w:rPr>
          <w:i/>
          <w:sz w:val="20"/>
        </w:rPr>
        <w:t>raining</w:t>
      </w:r>
      <w:r w:rsidRPr="00085AFE">
        <w:rPr>
          <w:sz w:val="20"/>
        </w:rPr>
        <w:t>. Leicester: NIACE.</w:t>
      </w:r>
    </w:p>
    <w:p w:rsidR="00DE3618" w:rsidRPr="00085AFE" w:rsidRDefault="00DE3618" w:rsidP="005601F0">
      <w:pPr>
        <w:ind w:left="567" w:hanging="567"/>
        <w:rPr>
          <w:sz w:val="20"/>
        </w:rPr>
      </w:pPr>
      <w:r w:rsidRPr="00085AFE">
        <w:rPr>
          <w:sz w:val="20"/>
        </w:rPr>
        <w:t xml:space="preserve">McNair, S. (2007) </w:t>
      </w:r>
      <w:r w:rsidR="00C2422E" w:rsidRPr="00085AFE">
        <w:rPr>
          <w:i/>
          <w:sz w:val="20"/>
        </w:rPr>
        <w:t>Demography and A</w:t>
      </w:r>
      <w:r w:rsidRPr="00085AFE">
        <w:rPr>
          <w:i/>
          <w:sz w:val="20"/>
        </w:rPr>
        <w:t xml:space="preserve">dult </w:t>
      </w:r>
      <w:r w:rsidR="00C2422E" w:rsidRPr="00085AFE">
        <w:rPr>
          <w:i/>
          <w:sz w:val="20"/>
        </w:rPr>
        <w:t>L</w:t>
      </w:r>
      <w:r w:rsidRPr="00085AFE">
        <w:rPr>
          <w:i/>
          <w:sz w:val="20"/>
        </w:rPr>
        <w:t>earning</w:t>
      </w:r>
      <w:r w:rsidRPr="00085AFE">
        <w:rPr>
          <w:sz w:val="20"/>
        </w:rPr>
        <w:t>: Thematic Paper 1, Inquiry into the Future of Lifelong Learning. Leicester: NIACE.</w:t>
      </w:r>
    </w:p>
    <w:p w:rsidR="00DE3618" w:rsidRPr="00085AFE" w:rsidRDefault="00DE3618" w:rsidP="0021338C">
      <w:pPr>
        <w:ind w:left="567" w:hanging="567"/>
        <w:rPr>
          <w:sz w:val="20"/>
        </w:rPr>
      </w:pPr>
      <w:r w:rsidRPr="00085AFE">
        <w:rPr>
          <w:sz w:val="20"/>
        </w:rPr>
        <w:t>Mousaferiadis, T. (2012) Putting the spotlight on male help seeking behaviour, Presentation to Victorian Male Health Gathering, Moorabbin, 16 Nov</w:t>
      </w:r>
      <w:r w:rsidR="00293792" w:rsidRPr="00085AFE">
        <w:rPr>
          <w:sz w:val="20"/>
        </w:rPr>
        <w:t>ember</w:t>
      </w:r>
      <w:r w:rsidRPr="00085AFE">
        <w:rPr>
          <w:sz w:val="20"/>
        </w:rPr>
        <w:t xml:space="preserve"> 2012.</w:t>
      </w:r>
    </w:p>
    <w:p w:rsidR="00DE3618" w:rsidRPr="00085AFE" w:rsidRDefault="00DE3618" w:rsidP="005601F0">
      <w:pPr>
        <w:ind w:left="567" w:hanging="567"/>
        <w:rPr>
          <w:sz w:val="20"/>
        </w:rPr>
      </w:pPr>
      <w:r w:rsidRPr="00085AFE">
        <w:rPr>
          <w:sz w:val="20"/>
        </w:rPr>
        <w:lastRenderedPageBreak/>
        <w:t xml:space="preserve">Myers, K. &amp; Myles, M. (2005) </w:t>
      </w:r>
      <w:r w:rsidR="00C2422E" w:rsidRPr="00085AFE">
        <w:rPr>
          <w:i/>
          <w:sz w:val="20"/>
        </w:rPr>
        <w:t>Self-assessed Returns to Adult Education: Life-long Learning and the Educationally D</w:t>
      </w:r>
      <w:r w:rsidRPr="00085AFE">
        <w:rPr>
          <w:i/>
          <w:sz w:val="20"/>
        </w:rPr>
        <w:t>isadvantaged</w:t>
      </w:r>
      <w:r w:rsidRPr="00085AFE">
        <w:rPr>
          <w:sz w:val="20"/>
        </w:rPr>
        <w:t xml:space="preserve">, Research Report W35. </w:t>
      </w:r>
      <w:r w:rsidR="00452310" w:rsidRPr="00085AFE">
        <w:rPr>
          <w:sz w:val="20"/>
        </w:rPr>
        <w:t>Ottawa</w:t>
      </w:r>
      <w:r w:rsidRPr="00085AFE">
        <w:rPr>
          <w:sz w:val="20"/>
        </w:rPr>
        <w:t>: Canadian Policy Research Network.</w:t>
      </w:r>
    </w:p>
    <w:p w:rsidR="00DE3618" w:rsidRPr="00085AFE" w:rsidRDefault="00DE3618" w:rsidP="005601F0">
      <w:pPr>
        <w:ind w:left="567" w:hanging="567"/>
        <w:rPr>
          <w:sz w:val="20"/>
        </w:rPr>
      </w:pPr>
      <w:r w:rsidRPr="00085AFE">
        <w:rPr>
          <w:sz w:val="20"/>
        </w:rPr>
        <w:t xml:space="preserve">Navarro, Z. (2006) In search of cultural interpretation of power, </w:t>
      </w:r>
      <w:r w:rsidRPr="00085AFE">
        <w:rPr>
          <w:i/>
          <w:sz w:val="20"/>
        </w:rPr>
        <w:t>IDS Bulletin</w:t>
      </w:r>
      <w:r w:rsidR="00293792" w:rsidRPr="00085AFE">
        <w:rPr>
          <w:sz w:val="20"/>
        </w:rPr>
        <w:t>,</w:t>
      </w:r>
      <w:r w:rsidR="00452310" w:rsidRPr="00085AFE">
        <w:rPr>
          <w:sz w:val="20"/>
        </w:rPr>
        <w:t xml:space="preserve"> </w:t>
      </w:r>
      <w:r w:rsidRPr="00085AFE">
        <w:rPr>
          <w:sz w:val="20"/>
        </w:rPr>
        <w:t>37</w:t>
      </w:r>
      <w:r w:rsidR="00452310" w:rsidRPr="00085AFE">
        <w:rPr>
          <w:sz w:val="20"/>
        </w:rPr>
        <w:t xml:space="preserve"> </w:t>
      </w:r>
      <w:r w:rsidR="00293792" w:rsidRPr="00085AFE">
        <w:rPr>
          <w:sz w:val="20"/>
        </w:rPr>
        <w:t>(</w:t>
      </w:r>
      <w:r w:rsidR="00452310" w:rsidRPr="00085AFE">
        <w:rPr>
          <w:sz w:val="20"/>
        </w:rPr>
        <w:t>6</w:t>
      </w:r>
      <w:r w:rsidR="00293792" w:rsidRPr="00085AFE">
        <w:rPr>
          <w:sz w:val="20"/>
        </w:rPr>
        <w:t>)</w:t>
      </w:r>
      <w:r w:rsidR="00C2422E" w:rsidRPr="00085AFE">
        <w:rPr>
          <w:sz w:val="20"/>
        </w:rPr>
        <w:t xml:space="preserve">, </w:t>
      </w:r>
      <w:r w:rsidRPr="00085AFE">
        <w:rPr>
          <w:sz w:val="20"/>
        </w:rPr>
        <w:t>pp.</w:t>
      </w:r>
      <w:r w:rsidR="00C2422E" w:rsidRPr="00085AFE">
        <w:rPr>
          <w:sz w:val="20"/>
        </w:rPr>
        <w:t xml:space="preserve"> </w:t>
      </w:r>
      <w:r w:rsidRPr="00085AFE">
        <w:rPr>
          <w:sz w:val="20"/>
        </w:rPr>
        <w:t>1-22.</w:t>
      </w:r>
    </w:p>
    <w:p w:rsidR="003750FF" w:rsidRPr="00085AFE" w:rsidRDefault="00DE3618" w:rsidP="005601F0">
      <w:pPr>
        <w:ind w:left="567" w:hanging="567"/>
        <w:rPr>
          <w:sz w:val="20"/>
        </w:rPr>
      </w:pPr>
      <w:r w:rsidRPr="00085AFE">
        <w:rPr>
          <w:sz w:val="20"/>
        </w:rPr>
        <w:t xml:space="preserve">NCVER (2009) </w:t>
      </w:r>
      <w:r w:rsidR="00C2422E" w:rsidRPr="00085AFE">
        <w:rPr>
          <w:i/>
          <w:sz w:val="20"/>
        </w:rPr>
        <w:t>Informal Learning: At a G</w:t>
      </w:r>
      <w:r w:rsidRPr="00085AFE">
        <w:rPr>
          <w:i/>
          <w:sz w:val="20"/>
        </w:rPr>
        <w:t>lance</w:t>
      </w:r>
      <w:r w:rsidR="003750FF" w:rsidRPr="00085AFE">
        <w:rPr>
          <w:sz w:val="20"/>
        </w:rPr>
        <w:t>. Adelaide:</w:t>
      </w:r>
      <w:r w:rsidRPr="00085AFE">
        <w:rPr>
          <w:sz w:val="20"/>
        </w:rPr>
        <w:t xml:space="preserve"> NCVER. </w:t>
      </w:r>
    </w:p>
    <w:p w:rsidR="003750FF" w:rsidRPr="00085AFE" w:rsidRDefault="003750FF" w:rsidP="005601F0">
      <w:pPr>
        <w:ind w:left="567" w:hanging="567"/>
        <w:rPr>
          <w:sz w:val="20"/>
        </w:rPr>
      </w:pPr>
      <w:r w:rsidRPr="00085AFE">
        <w:rPr>
          <w:sz w:val="20"/>
        </w:rPr>
        <w:t xml:space="preserve">O’Connor, M. (2007) </w:t>
      </w:r>
      <w:r w:rsidRPr="00085AFE">
        <w:rPr>
          <w:i/>
          <w:sz w:val="20"/>
        </w:rPr>
        <w:t>Sé Sí: Gender in Irish Education.</w:t>
      </w:r>
      <w:r w:rsidRPr="00085AFE">
        <w:rPr>
          <w:sz w:val="20"/>
        </w:rPr>
        <w:t xml:space="preserve"> Dublin: Department of Education and Science. </w:t>
      </w:r>
    </w:p>
    <w:p w:rsidR="009F4DDF" w:rsidRPr="00085AFE" w:rsidRDefault="00DE3618" w:rsidP="005601F0">
      <w:pPr>
        <w:ind w:left="567" w:hanging="567"/>
        <w:rPr>
          <w:sz w:val="20"/>
        </w:rPr>
      </w:pPr>
      <w:r w:rsidRPr="00085AFE">
        <w:rPr>
          <w:sz w:val="20"/>
        </w:rPr>
        <w:t xml:space="preserve">OECD (2008) </w:t>
      </w:r>
      <w:r w:rsidR="00C2422E" w:rsidRPr="00085AFE">
        <w:rPr>
          <w:i/>
          <w:sz w:val="20"/>
        </w:rPr>
        <w:t>Education at a G</w:t>
      </w:r>
      <w:r w:rsidRPr="00085AFE">
        <w:rPr>
          <w:i/>
          <w:sz w:val="20"/>
        </w:rPr>
        <w:t>lance 2008</w:t>
      </w:r>
      <w:r w:rsidRPr="00085AFE">
        <w:rPr>
          <w:sz w:val="20"/>
        </w:rPr>
        <w:t>. Paris: OECD.</w:t>
      </w:r>
    </w:p>
    <w:p w:rsidR="00DE3618" w:rsidRPr="00085AFE" w:rsidRDefault="009F4DDF" w:rsidP="009F4DDF">
      <w:pPr>
        <w:ind w:left="567" w:hanging="567"/>
        <w:rPr>
          <w:sz w:val="20"/>
        </w:rPr>
      </w:pPr>
      <w:r w:rsidRPr="00085AFE">
        <w:rPr>
          <w:sz w:val="20"/>
        </w:rPr>
        <w:t xml:space="preserve">Ostrouch-Kaminska, J., Fontanini, C. &amp; Gaynard, S. (Eds.) (2012) </w:t>
      </w:r>
      <w:r w:rsidRPr="00085AFE">
        <w:rPr>
          <w:i/>
          <w:sz w:val="20"/>
        </w:rPr>
        <w:t>Considering Gender in Adult Learning and Academia: (In) visible Act</w:t>
      </w:r>
      <w:r w:rsidRPr="00085AFE">
        <w:rPr>
          <w:sz w:val="20"/>
        </w:rPr>
        <w:t>. Warsaw: Wydawnictwo Naukowe.</w:t>
      </w:r>
    </w:p>
    <w:p w:rsidR="00DE3618" w:rsidRPr="00085AFE" w:rsidRDefault="00DE3618" w:rsidP="005601F0">
      <w:pPr>
        <w:ind w:left="567" w:hanging="567"/>
        <w:rPr>
          <w:sz w:val="20"/>
        </w:rPr>
      </w:pPr>
      <w:r w:rsidRPr="00085AFE">
        <w:rPr>
          <w:sz w:val="20"/>
        </w:rPr>
        <w:t xml:space="preserve">Owens. T. (2000) </w:t>
      </w:r>
      <w:r w:rsidR="00C2422E" w:rsidRPr="00085AFE">
        <w:rPr>
          <w:i/>
          <w:sz w:val="20"/>
        </w:rPr>
        <w:t>Men on the M</w:t>
      </w:r>
      <w:r w:rsidRPr="00085AFE">
        <w:rPr>
          <w:i/>
          <w:sz w:val="20"/>
        </w:rPr>
        <w:t>ove</w:t>
      </w:r>
      <w:r w:rsidRPr="00085AFE">
        <w:rPr>
          <w:sz w:val="20"/>
        </w:rPr>
        <w:t xml:space="preserve">. Dublin: AONTAS National Association of Adult </w:t>
      </w:r>
      <w:r w:rsidR="00293792" w:rsidRPr="00085AFE">
        <w:rPr>
          <w:sz w:val="20"/>
        </w:rPr>
        <w:t>E</w:t>
      </w:r>
      <w:r w:rsidRPr="00085AFE">
        <w:rPr>
          <w:sz w:val="20"/>
        </w:rPr>
        <w:t>ducation.</w:t>
      </w:r>
    </w:p>
    <w:p w:rsidR="00DE3618" w:rsidRPr="00085AFE" w:rsidRDefault="00DE3618" w:rsidP="0021338C">
      <w:pPr>
        <w:ind w:left="567" w:hanging="567"/>
        <w:rPr>
          <w:sz w:val="20"/>
        </w:rPr>
      </w:pPr>
      <w:r w:rsidRPr="00085AFE">
        <w:rPr>
          <w:sz w:val="20"/>
        </w:rPr>
        <w:t xml:space="preserve">Pollard, A. (2010) Evidence-informed principles from the teaching and learning research programme, In C. Cooper, J. Field, U. Goswami, R. Jenkins &amp; B. Sahakian, </w:t>
      </w:r>
      <w:r w:rsidRPr="00085AFE">
        <w:rPr>
          <w:i/>
          <w:sz w:val="20"/>
        </w:rPr>
        <w:t>Mental capital and wellbeing</w:t>
      </w:r>
      <w:r w:rsidRPr="00085AFE">
        <w:rPr>
          <w:sz w:val="20"/>
        </w:rPr>
        <w:t>. Chichester: Wiley-Blackwell, pp.</w:t>
      </w:r>
      <w:r w:rsidR="00C2422E" w:rsidRPr="00085AFE">
        <w:rPr>
          <w:sz w:val="20"/>
        </w:rPr>
        <w:t xml:space="preserve"> 361-</w:t>
      </w:r>
      <w:r w:rsidRPr="00085AFE">
        <w:rPr>
          <w:sz w:val="20"/>
        </w:rPr>
        <w:t>67.</w:t>
      </w:r>
    </w:p>
    <w:p w:rsidR="00DE3618" w:rsidRPr="00085AFE" w:rsidRDefault="00DE3618" w:rsidP="0021338C">
      <w:pPr>
        <w:ind w:left="567" w:hanging="567"/>
        <w:rPr>
          <w:sz w:val="20"/>
        </w:rPr>
      </w:pPr>
      <w:r w:rsidRPr="00085AFE">
        <w:rPr>
          <w:sz w:val="20"/>
        </w:rPr>
        <w:t xml:space="preserve">Scott, A. &amp; Wenger, G. (1995) Gender and social support networks in later life, in S. Arber &amp; J. Ginn (Eds.) </w:t>
      </w:r>
      <w:r w:rsidR="00C2422E" w:rsidRPr="00085AFE">
        <w:rPr>
          <w:i/>
          <w:sz w:val="20"/>
        </w:rPr>
        <w:t>Connecting Gender and Ageing: A Sociological A</w:t>
      </w:r>
      <w:r w:rsidRPr="00085AFE">
        <w:rPr>
          <w:i/>
          <w:sz w:val="20"/>
        </w:rPr>
        <w:t>pproach</w:t>
      </w:r>
      <w:r w:rsidRPr="00085AFE">
        <w:rPr>
          <w:sz w:val="20"/>
        </w:rPr>
        <w:t>. Buckingham: Open University Press, pp.</w:t>
      </w:r>
      <w:r w:rsidR="00C2422E" w:rsidRPr="00085AFE">
        <w:rPr>
          <w:sz w:val="20"/>
        </w:rPr>
        <w:t xml:space="preserve"> 158-</w:t>
      </w:r>
      <w:r w:rsidRPr="00085AFE">
        <w:rPr>
          <w:sz w:val="20"/>
        </w:rPr>
        <w:t>72.</w:t>
      </w:r>
    </w:p>
    <w:p w:rsidR="003750FF" w:rsidRPr="00085AFE" w:rsidRDefault="00DE3618" w:rsidP="0021338C">
      <w:pPr>
        <w:ind w:left="567" w:hanging="567"/>
        <w:rPr>
          <w:sz w:val="20"/>
        </w:rPr>
      </w:pPr>
      <w:r w:rsidRPr="00085AFE">
        <w:rPr>
          <w:sz w:val="20"/>
        </w:rPr>
        <w:t xml:space="preserve">Sheehy, G. (1976) </w:t>
      </w:r>
      <w:r w:rsidR="00C2422E" w:rsidRPr="00085AFE">
        <w:rPr>
          <w:i/>
          <w:sz w:val="20"/>
        </w:rPr>
        <w:t>Passages: Predictable Crises of Adult L</w:t>
      </w:r>
      <w:r w:rsidRPr="00085AFE">
        <w:rPr>
          <w:i/>
          <w:sz w:val="20"/>
        </w:rPr>
        <w:t>ife</w:t>
      </w:r>
      <w:r w:rsidRPr="00085AFE">
        <w:rPr>
          <w:sz w:val="20"/>
        </w:rPr>
        <w:t>. New York: Dutton.</w:t>
      </w:r>
    </w:p>
    <w:p w:rsidR="0055438F" w:rsidRPr="00085AFE" w:rsidRDefault="0055438F" w:rsidP="0055438F">
      <w:pPr>
        <w:ind w:left="567" w:hanging="567"/>
        <w:rPr>
          <w:sz w:val="20"/>
        </w:rPr>
      </w:pPr>
      <w:r w:rsidRPr="00085AFE">
        <w:rPr>
          <w:sz w:val="20"/>
        </w:rPr>
        <w:t>Smith, M. (1998</w:t>
      </w:r>
      <w:r w:rsidR="00DE3618" w:rsidRPr="00085AFE">
        <w:rPr>
          <w:sz w:val="20"/>
        </w:rPr>
        <w:t>) Participation in learning project and programs</w:t>
      </w:r>
      <w:r w:rsidR="00C2422E" w:rsidRPr="00085AFE">
        <w:rPr>
          <w:sz w:val="20"/>
        </w:rPr>
        <w:t>,</w:t>
      </w:r>
      <w:r w:rsidR="00DE3618" w:rsidRPr="00085AFE">
        <w:rPr>
          <w:sz w:val="20"/>
        </w:rPr>
        <w:t xml:space="preserve"> Accessed 3 Jan 2008 from </w:t>
      </w:r>
      <w:hyperlink r:id="rId10" w:history="1">
        <w:r w:rsidR="00DE3618" w:rsidRPr="00085AFE">
          <w:rPr>
            <w:rStyle w:val="Hyperlink"/>
            <w:sz w:val="20"/>
          </w:rPr>
          <w:t>www.infed.org.biblio/b-partIn.htm</w:t>
        </w:r>
      </w:hyperlink>
      <w:r w:rsidR="00DE3618" w:rsidRPr="00085AFE">
        <w:rPr>
          <w:sz w:val="20"/>
        </w:rPr>
        <w:t>.</w:t>
      </w:r>
    </w:p>
    <w:p w:rsidR="00DE3618" w:rsidRPr="00085AFE" w:rsidRDefault="0055438F" w:rsidP="0055438F">
      <w:pPr>
        <w:ind w:left="567" w:hanging="567"/>
        <w:rPr>
          <w:sz w:val="20"/>
        </w:rPr>
      </w:pPr>
      <w:r w:rsidRPr="00085AFE">
        <w:rPr>
          <w:sz w:val="20"/>
        </w:rPr>
        <w:t xml:space="preserve">Smith, M. (1999) Learning theory, The Encyclopedia of Informal Education, Accessed 3 Jan 2008 from </w:t>
      </w:r>
      <w:hyperlink r:id="rId11" w:history="1">
        <w:r w:rsidRPr="00085AFE">
          <w:rPr>
            <w:rStyle w:val="Hyperlink"/>
            <w:sz w:val="20"/>
          </w:rPr>
          <w:t>www.infed.org/biblio/b-learn.ht</w:t>
        </w:r>
      </w:hyperlink>
      <w:r w:rsidRPr="00085AFE">
        <w:rPr>
          <w:sz w:val="20"/>
        </w:rPr>
        <w:t xml:space="preserve">, </w:t>
      </w:r>
    </w:p>
    <w:p w:rsidR="00DE3618" w:rsidRPr="00085AFE" w:rsidRDefault="00DE3618" w:rsidP="0021338C">
      <w:pPr>
        <w:ind w:left="567" w:hanging="567"/>
        <w:rPr>
          <w:sz w:val="20"/>
        </w:rPr>
      </w:pPr>
      <w:r w:rsidRPr="00085AFE">
        <w:rPr>
          <w:sz w:val="20"/>
        </w:rPr>
        <w:t xml:space="preserve">TSA (2009) TSA Consultancy, </w:t>
      </w:r>
      <w:r w:rsidR="00C2422E" w:rsidRPr="00085AFE">
        <w:rPr>
          <w:i/>
          <w:sz w:val="20"/>
        </w:rPr>
        <w:t>Men and Literacy: A Study of Attitude and Experiences of L</w:t>
      </w:r>
      <w:r w:rsidRPr="00085AFE">
        <w:rPr>
          <w:i/>
          <w:sz w:val="20"/>
        </w:rPr>
        <w:t>earning</w:t>
      </w:r>
      <w:r w:rsidRPr="00085AFE">
        <w:rPr>
          <w:sz w:val="20"/>
        </w:rPr>
        <w:t>, Dublin: NALA.</w:t>
      </w:r>
    </w:p>
    <w:p w:rsidR="00DE3618" w:rsidRPr="00085AFE" w:rsidRDefault="00DE3618" w:rsidP="0021338C">
      <w:pPr>
        <w:ind w:left="567" w:hanging="567"/>
        <w:rPr>
          <w:sz w:val="20"/>
        </w:rPr>
      </w:pPr>
      <w:r w:rsidRPr="00085AFE">
        <w:rPr>
          <w:sz w:val="20"/>
        </w:rPr>
        <w:t xml:space="preserve">UNDP (2002) </w:t>
      </w:r>
      <w:r w:rsidR="00C2422E" w:rsidRPr="00085AFE">
        <w:rPr>
          <w:i/>
          <w:sz w:val="20"/>
        </w:rPr>
        <w:t>Human Development R</w:t>
      </w:r>
      <w:r w:rsidRPr="00085AFE">
        <w:rPr>
          <w:i/>
          <w:sz w:val="20"/>
        </w:rPr>
        <w:t>e</w:t>
      </w:r>
      <w:r w:rsidR="00C2422E" w:rsidRPr="00085AFE">
        <w:rPr>
          <w:i/>
          <w:sz w:val="20"/>
        </w:rPr>
        <w:t>port 2003: Millennium Goals: A Compact among Nations to End Human P</w:t>
      </w:r>
      <w:r w:rsidRPr="00085AFE">
        <w:rPr>
          <w:i/>
          <w:sz w:val="20"/>
        </w:rPr>
        <w:t>overty</w:t>
      </w:r>
      <w:r w:rsidRPr="00085AFE">
        <w:rPr>
          <w:sz w:val="20"/>
        </w:rPr>
        <w:t>. New York: Oxford University Press.</w:t>
      </w:r>
    </w:p>
    <w:p w:rsidR="00DE3618" w:rsidRPr="00085AFE" w:rsidRDefault="00452310" w:rsidP="0021338C">
      <w:pPr>
        <w:ind w:left="567" w:hanging="567"/>
        <w:rPr>
          <w:sz w:val="20"/>
        </w:rPr>
      </w:pPr>
      <w:r w:rsidRPr="00085AFE">
        <w:rPr>
          <w:sz w:val="20"/>
        </w:rPr>
        <w:t>UNEVOC (2006</w:t>
      </w:r>
      <w:r w:rsidR="00DE3618" w:rsidRPr="00085AFE">
        <w:rPr>
          <w:sz w:val="20"/>
        </w:rPr>
        <w:t xml:space="preserve">) </w:t>
      </w:r>
      <w:r w:rsidR="00C2422E" w:rsidRPr="00085AFE">
        <w:rPr>
          <w:i/>
          <w:sz w:val="20"/>
        </w:rPr>
        <w:t>Participation in Formal Technical and Vocational Education and Training Programmes W</w:t>
      </w:r>
      <w:r w:rsidR="00DE3618" w:rsidRPr="00085AFE">
        <w:rPr>
          <w:i/>
          <w:sz w:val="20"/>
        </w:rPr>
        <w:t>orldwide</w:t>
      </w:r>
      <w:r w:rsidR="00DE3618" w:rsidRPr="00085AFE">
        <w:rPr>
          <w:sz w:val="20"/>
        </w:rPr>
        <w:t>. Paris: UNEVOC International Centre for TVET.</w:t>
      </w:r>
    </w:p>
    <w:p w:rsidR="005601F0" w:rsidRPr="00085AFE" w:rsidRDefault="00DE3618" w:rsidP="0055438F">
      <w:pPr>
        <w:ind w:left="567" w:hanging="567"/>
        <w:rPr>
          <w:sz w:val="20"/>
        </w:rPr>
      </w:pPr>
      <w:r w:rsidRPr="00085AFE">
        <w:rPr>
          <w:sz w:val="20"/>
        </w:rPr>
        <w:t xml:space="preserve">WRC (2003) WRC Social and Economic Consultants, </w:t>
      </w:r>
      <w:r w:rsidR="003750FF" w:rsidRPr="00085AFE">
        <w:rPr>
          <w:i/>
          <w:sz w:val="20"/>
        </w:rPr>
        <w:t>Accommodating Diversity in Labour Market P</w:t>
      </w:r>
      <w:r w:rsidRPr="00085AFE">
        <w:rPr>
          <w:i/>
          <w:sz w:val="20"/>
        </w:rPr>
        <w:t>rogrammes</w:t>
      </w:r>
      <w:r w:rsidRPr="00085AFE">
        <w:rPr>
          <w:sz w:val="20"/>
        </w:rPr>
        <w:t>. Dublin: Equality Authority.</w:t>
      </w:r>
    </w:p>
    <w:sectPr w:rsidR="005601F0" w:rsidRPr="00085AFE" w:rsidSect="00085AFE">
      <w:footerReference w:type="even" r:id="rId12"/>
      <w:footerReference w:type="default" r:id="rId13"/>
      <w:pgSz w:w="11900" w:h="16840"/>
      <w:pgMar w:top="1440" w:right="1440" w:bottom="1440" w:left="2155"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65F" w:rsidRDefault="0051065F">
      <w:r>
        <w:separator/>
      </w:r>
    </w:p>
  </w:endnote>
  <w:endnote w:type="continuationSeparator" w:id="0">
    <w:p w:rsidR="0051065F" w:rsidRDefault="00510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65F" w:rsidRDefault="007245A6" w:rsidP="005601F0">
    <w:pPr>
      <w:pStyle w:val="Footer"/>
      <w:framePr w:wrap="around" w:vAnchor="text" w:hAnchor="margin" w:xAlign="right" w:y="1"/>
      <w:rPr>
        <w:rStyle w:val="PageNumber"/>
      </w:rPr>
    </w:pPr>
    <w:r>
      <w:rPr>
        <w:rStyle w:val="PageNumber"/>
      </w:rPr>
      <w:fldChar w:fldCharType="begin"/>
    </w:r>
    <w:r w:rsidR="0051065F">
      <w:rPr>
        <w:rStyle w:val="PageNumber"/>
      </w:rPr>
      <w:instrText xml:space="preserve">PAGE  </w:instrText>
    </w:r>
    <w:r>
      <w:rPr>
        <w:rStyle w:val="PageNumber"/>
      </w:rPr>
      <w:fldChar w:fldCharType="end"/>
    </w:r>
  </w:p>
  <w:p w:rsidR="0051065F" w:rsidRDefault="0051065F" w:rsidP="005601F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65F" w:rsidRDefault="007245A6" w:rsidP="005601F0">
    <w:pPr>
      <w:pStyle w:val="Footer"/>
      <w:framePr w:wrap="around" w:vAnchor="text" w:hAnchor="margin" w:xAlign="right" w:y="1"/>
      <w:rPr>
        <w:rStyle w:val="PageNumber"/>
      </w:rPr>
    </w:pPr>
    <w:r>
      <w:rPr>
        <w:rStyle w:val="PageNumber"/>
      </w:rPr>
      <w:fldChar w:fldCharType="begin"/>
    </w:r>
    <w:r w:rsidR="0051065F">
      <w:rPr>
        <w:rStyle w:val="PageNumber"/>
      </w:rPr>
      <w:instrText xml:space="preserve">PAGE  </w:instrText>
    </w:r>
    <w:r>
      <w:rPr>
        <w:rStyle w:val="PageNumber"/>
      </w:rPr>
      <w:fldChar w:fldCharType="separate"/>
    </w:r>
    <w:r w:rsidR="008C0386">
      <w:rPr>
        <w:rStyle w:val="PageNumber"/>
        <w:noProof/>
      </w:rPr>
      <w:t>1</w:t>
    </w:r>
    <w:r>
      <w:rPr>
        <w:rStyle w:val="PageNumber"/>
      </w:rPr>
      <w:fldChar w:fldCharType="end"/>
    </w:r>
  </w:p>
  <w:p w:rsidR="0051065F" w:rsidRDefault="0051065F" w:rsidP="005601F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65F" w:rsidRDefault="0051065F">
      <w:r>
        <w:separator/>
      </w:r>
    </w:p>
  </w:footnote>
  <w:footnote w:type="continuationSeparator" w:id="0">
    <w:p w:rsidR="0051065F" w:rsidRDefault="0051065F">
      <w:r>
        <w:continuationSeparator/>
      </w:r>
    </w:p>
  </w:footnote>
  <w:footnote w:id="1">
    <w:p w:rsidR="00085AFE" w:rsidRPr="00085AFE" w:rsidRDefault="00085AFE">
      <w:pPr>
        <w:pStyle w:val="FootnoteText"/>
        <w:rPr>
          <w:sz w:val="20"/>
        </w:rPr>
      </w:pPr>
      <w:r>
        <w:rPr>
          <w:rStyle w:val="FootnoteReference"/>
        </w:rPr>
        <w:footnoteRef/>
      </w:r>
      <w:r>
        <w:t xml:space="preserve"> </w:t>
      </w:r>
      <w:r w:rsidRPr="00085AFE">
        <w:rPr>
          <w:sz w:val="20"/>
        </w:rPr>
        <w:t>P</w:t>
      </w:r>
      <w:r>
        <w:rPr>
          <w:sz w:val="20"/>
        </w:rPr>
        <w:t>rofessor Barry Golding: Assoc</w:t>
      </w:r>
      <w:r w:rsidR="00BB6451">
        <w:rPr>
          <w:sz w:val="20"/>
        </w:rPr>
        <w:t>iate Dean, Research, School of E</w:t>
      </w:r>
      <w:r>
        <w:rPr>
          <w:sz w:val="20"/>
        </w:rPr>
        <w:t xml:space="preserve">ducation &amp; Arts, University of Ballarat, Australia, President Adult Learning Australia </w:t>
      </w:r>
      <w:hyperlink r:id="rId1" w:history="1">
        <w:r w:rsidRPr="003972D5">
          <w:rPr>
            <w:rStyle w:val="Hyperlink"/>
            <w:sz w:val="20"/>
          </w:rPr>
          <w:t>b.golding@ballarat.edu.au</w:t>
        </w:r>
      </w:hyperlink>
      <w:r>
        <w:rPr>
          <w:sz w:val="20"/>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A616D"/>
    <w:multiLevelType w:val="hybridMultilevel"/>
    <w:tmpl w:val="A172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3A6"/>
    <w:rsid w:val="0000299F"/>
    <w:rsid w:val="00010441"/>
    <w:rsid w:val="0003580A"/>
    <w:rsid w:val="00064F75"/>
    <w:rsid w:val="00085AFE"/>
    <w:rsid w:val="00091BE0"/>
    <w:rsid w:val="000A2386"/>
    <w:rsid w:val="000C3307"/>
    <w:rsid w:val="000C7F66"/>
    <w:rsid w:val="000D1D86"/>
    <w:rsid w:val="000D3433"/>
    <w:rsid w:val="000F3242"/>
    <w:rsid w:val="00105447"/>
    <w:rsid w:val="00110813"/>
    <w:rsid w:val="00123156"/>
    <w:rsid w:val="00130D27"/>
    <w:rsid w:val="00137355"/>
    <w:rsid w:val="001405F9"/>
    <w:rsid w:val="001465E7"/>
    <w:rsid w:val="00150AB7"/>
    <w:rsid w:val="0015322B"/>
    <w:rsid w:val="00156A20"/>
    <w:rsid w:val="0016104B"/>
    <w:rsid w:val="0016534F"/>
    <w:rsid w:val="00182DD2"/>
    <w:rsid w:val="001A5410"/>
    <w:rsid w:val="001B6E48"/>
    <w:rsid w:val="001E07AF"/>
    <w:rsid w:val="001E0A37"/>
    <w:rsid w:val="001F2298"/>
    <w:rsid w:val="00203805"/>
    <w:rsid w:val="0021338C"/>
    <w:rsid w:val="002168CC"/>
    <w:rsid w:val="0022699F"/>
    <w:rsid w:val="00250EDD"/>
    <w:rsid w:val="00251B12"/>
    <w:rsid w:val="00255200"/>
    <w:rsid w:val="00293792"/>
    <w:rsid w:val="002A6840"/>
    <w:rsid w:val="002E3B81"/>
    <w:rsid w:val="0031360C"/>
    <w:rsid w:val="0032178D"/>
    <w:rsid w:val="003235DD"/>
    <w:rsid w:val="00357FEF"/>
    <w:rsid w:val="00366165"/>
    <w:rsid w:val="00366E9D"/>
    <w:rsid w:val="003750FF"/>
    <w:rsid w:val="00375B21"/>
    <w:rsid w:val="00377F39"/>
    <w:rsid w:val="00396408"/>
    <w:rsid w:val="003B0307"/>
    <w:rsid w:val="003C3D9F"/>
    <w:rsid w:val="003C66F5"/>
    <w:rsid w:val="003D032B"/>
    <w:rsid w:val="003E11C4"/>
    <w:rsid w:val="003E2691"/>
    <w:rsid w:val="0040779D"/>
    <w:rsid w:val="004305B7"/>
    <w:rsid w:val="00452310"/>
    <w:rsid w:val="0047518C"/>
    <w:rsid w:val="00476CCA"/>
    <w:rsid w:val="00486895"/>
    <w:rsid w:val="004974FF"/>
    <w:rsid w:val="00500402"/>
    <w:rsid w:val="0051065F"/>
    <w:rsid w:val="00513EDC"/>
    <w:rsid w:val="00530272"/>
    <w:rsid w:val="0053722F"/>
    <w:rsid w:val="00547146"/>
    <w:rsid w:val="0055438F"/>
    <w:rsid w:val="00554982"/>
    <w:rsid w:val="00557FF5"/>
    <w:rsid w:val="005601F0"/>
    <w:rsid w:val="00566F20"/>
    <w:rsid w:val="00581718"/>
    <w:rsid w:val="00594CBB"/>
    <w:rsid w:val="005F54D7"/>
    <w:rsid w:val="0060078D"/>
    <w:rsid w:val="006242D7"/>
    <w:rsid w:val="00624454"/>
    <w:rsid w:val="00655971"/>
    <w:rsid w:val="006640D8"/>
    <w:rsid w:val="006701D2"/>
    <w:rsid w:val="006A2E2C"/>
    <w:rsid w:val="006B07B5"/>
    <w:rsid w:val="006B33A6"/>
    <w:rsid w:val="006B455F"/>
    <w:rsid w:val="006D4BE5"/>
    <w:rsid w:val="007041F7"/>
    <w:rsid w:val="0071320B"/>
    <w:rsid w:val="007245A6"/>
    <w:rsid w:val="00757D91"/>
    <w:rsid w:val="00764857"/>
    <w:rsid w:val="0077667B"/>
    <w:rsid w:val="007770AD"/>
    <w:rsid w:val="00792A1E"/>
    <w:rsid w:val="007B53BC"/>
    <w:rsid w:val="007C2E68"/>
    <w:rsid w:val="007C3F5D"/>
    <w:rsid w:val="007E3184"/>
    <w:rsid w:val="00811505"/>
    <w:rsid w:val="00816339"/>
    <w:rsid w:val="00830A12"/>
    <w:rsid w:val="0088202F"/>
    <w:rsid w:val="008853C8"/>
    <w:rsid w:val="008A1799"/>
    <w:rsid w:val="008C0386"/>
    <w:rsid w:val="00915605"/>
    <w:rsid w:val="00921447"/>
    <w:rsid w:val="00935048"/>
    <w:rsid w:val="009550BE"/>
    <w:rsid w:val="0097033F"/>
    <w:rsid w:val="009766B6"/>
    <w:rsid w:val="00996869"/>
    <w:rsid w:val="009B4643"/>
    <w:rsid w:val="009B4E64"/>
    <w:rsid w:val="009C7DE8"/>
    <w:rsid w:val="009F4DDF"/>
    <w:rsid w:val="00A110B9"/>
    <w:rsid w:val="00A30E98"/>
    <w:rsid w:val="00A35968"/>
    <w:rsid w:val="00A432DE"/>
    <w:rsid w:val="00A57BAF"/>
    <w:rsid w:val="00A85580"/>
    <w:rsid w:val="00AE3389"/>
    <w:rsid w:val="00AE3638"/>
    <w:rsid w:val="00B05517"/>
    <w:rsid w:val="00B36FB7"/>
    <w:rsid w:val="00B60110"/>
    <w:rsid w:val="00B742CF"/>
    <w:rsid w:val="00B80722"/>
    <w:rsid w:val="00B83673"/>
    <w:rsid w:val="00B85DD5"/>
    <w:rsid w:val="00B94ED9"/>
    <w:rsid w:val="00BA0E60"/>
    <w:rsid w:val="00BB57E0"/>
    <w:rsid w:val="00BB6451"/>
    <w:rsid w:val="00BD1CE5"/>
    <w:rsid w:val="00BE77E2"/>
    <w:rsid w:val="00BF47C0"/>
    <w:rsid w:val="00C14EFA"/>
    <w:rsid w:val="00C2087D"/>
    <w:rsid w:val="00C240E5"/>
    <w:rsid w:val="00C2422E"/>
    <w:rsid w:val="00C32A87"/>
    <w:rsid w:val="00C3327B"/>
    <w:rsid w:val="00C42CE1"/>
    <w:rsid w:val="00C4617D"/>
    <w:rsid w:val="00C82A5B"/>
    <w:rsid w:val="00C82D6A"/>
    <w:rsid w:val="00CA1D11"/>
    <w:rsid w:val="00CD6748"/>
    <w:rsid w:val="00D03247"/>
    <w:rsid w:val="00D130AD"/>
    <w:rsid w:val="00D22AC0"/>
    <w:rsid w:val="00D3237F"/>
    <w:rsid w:val="00D36862"/>
    <w:rsid w:val="00D443B4"/>
    <w:rsid w:val="00D51E44"/>
    <w:rsid w:val="00D62AEC"/>
    <w:rsid w:val="00D9155F"/>
    <w:rsid w:val="00D94C9A"/>
    <w:rsid w:val="00D973C0"/>
    <w:rsid w:val="00DE3618"/>
    <w:rsid w:val="00DE41BB"/>
    <w:rsid w:val="00E23F78"/>
    <w:rsid w:val="00E25C77"/>
    <w:rsid w:val="00E375B0"/>
    <w:rsid w:val="00E60805"/>
    <w:rsid w:val="00E63953"/>
    <w:rsid w:val="00E73C7F"/>
    <w:rsid w:val="00E7530B"/>
    <w:rsid w:val="00E80FEC"/>
    <w:rsid w:val="00EB2316"/>
    <w:rsid w:val="00EE2948"/>
    <w:rsid w:val="00F04553"/>
    <w:rsid w:val="00F20A61"/>
    <w:rsid w:val="00F3522A"/>
    <w:rsid w:val="00F53A6F"/>
    <w:rsid w:val="00F55782"/>
    <w:rsid w:val="00F63B41"/>
    <w:rsid w:val="00F76C0D"/>
    <w:rsid w:val="00F95D06"/>
    <w:rsid w:val="00F96CEE"/>
    <w:rsid w:val="00FA4085"/>
    <w:rsid w:val="00FC48D6"/>
    <w:rsid w:val="00FC734E"/>
    <w:rsid w:val="00FF39AD"/>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33A6"/>
    <w:rPr>
      <w:rFonts w:ascii="Times New Roman" w:eastAsia="Times New Roman" w:hAnsi="Times New Roman" w:cs="Times New Roman"/>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C2087D"/>
    <w:rPr>
      <w:rFonts w:ascii="Tahoma" w:hAnsi="Tahoma" w:cs="Tahoma"/>
      <w:sz w:val="16"/>
      <w:szCs w:val="16"/>
    </w:rPr>
  </w:style>
  <w:style w:type="character" w:customStyle="1" w:styleId="BalloonTextChar">
    <w:name w:val="Balloon Text Char"/>
    <w:basedOn w:val="DefaultParagraphFont"/>
    <w:uiPriority w:val="99"/>
    <w:semiHidden/>
    <w:rsid w:val="00906B07"/>
    <w:rPr>
      <w:rFonts w:ascii="Lucida Grande" w:hAnsi="Lucida Grande"/>
      <w:sz w:val="18"/>
      <w:szCs w:val="18"/>
    </w:rPr>
  </w:style>
  <w:style w:type="character" w:customStyle="1" w:styleId="BalloonTextChar0">
    <w:name w:val="Balloon Text Char"/>
    <w:basedOn w:val="DefaultParagraphFont"/>
    <w:uiPriority w:val="99"/>
    <w:semiHidden/>
    <w:rsid w:val="00030A24"/>
    <w:rPr>
      <w:rFonts w:ascii="Lucida Grande" w:hAnsi="Lucida Grande"/>
      <w:sz w:val="18"/>
      <w:szCs w:val="18"/>
    </w:rPr>
  </w:style>
  <w:style w:type="character" w:customStyle="1" w:styleId="BalloonTextChar2">
    <w:name w:val="Balloon Text Char"/>
    <w:basedOn w:val="DefaultParagraphFont"/>
    <w:uiPriority w:val="99"/>
    <w:semiHidden/>
    <w:rsid w:val="009F06F7"/>
    <w:rPr>
      <w:rFonts w:ascii="Lucida Grande" w:hAnsi="Lucida Grande"/>
      <w:sz w:val="18"/>
      <w:szCs w:val="18"/>
    </w:rPr>
  </w:style>
  <w:style w:type="paragraph" w:styleId="Header">
    <w:name w:val="header"/>
    <w:basedOn w:val="Normal"/>
    <w:link w:val="HeaderChar"/>
    <w:uiPriority w:val="99"/>
    <w:semiHidden/>
    <w:unhideWhenUsed/>
    <w:rsid w:val="006B33A6"/>
    <w:pPr>
      <w:tabs>
        <w:tab w:val="center" w:pos="4320"/>
        <w:tab w:val="right" w:pos="8640"/>
      </w:tabs>
    </w:pPr>
  </w:style>
  <w:style w:type="character" w:customStyle="1" w:styleId="HeaderChar">
    <w:name w:val="Header Char"/>
    <w:basedOn w:val="DefaultParagraphFont"/>
    <w:link w:val="Header"/>
    <w:uiPriority w:val="99"/>
    <w:semiHidden/>
    <w:rsid w:val="006B33A6"/>
    <w:rPr>
      <w:rFonts w:ascii="Times New Roman" w:eastAsia="Times New Roman" w:hAnsi="Times New Roman" w:cs="Times New Roman"/>
      <w:lang w:val="en-AU" w:eastAsia="en-AU"/>
    </w:rPr>
  </w:style>
  <w:style w:type="paragraph" w:styleId="Footer">
    <w:name w:val="footer"/>
    <w:basedOn w:val="Normal"/>
    <w:link w:val="FooterChar"/>
    <w:uiPriority w:val="99"/>
    <w:semiHidden/>
    <w:unhideWhenUsed/>
    <w:rsid w:val="006B33A6"/>
    <w:pPr>
      <w:tabs>
        <w:tab w:val="center" w:pos="4320"/>
        <w:tab w:val="right" w:pos="8640"/>
      </w:tabs>
    </w:pPr>
  </w:style>
  <w:style w:type="character" w:customStyle="1" w:styleId="FooterChar">
    <w:name w:val="Footer Char"/>
    <w:basedOn w:val="DefaultParagraphFont"/>
    <w:link w:val="Footer"/>
    <w:uiPriority w:val="99"/>
    <w:semiHidden/>
    <w:rsid w:val="006B33A6"/>
    <w:rPr>
      <w:rFonts w:ascii="Times New Roman" w:eastAsia="Times New Roman" w:hAnsi="Times New Roman" w:cs="Times New Roman"/>
      <w:lang w:val="en-AU" w:eastAsia="en-AU"/>
    </w:rPr>
  </w:style>
  <w:style w:type="character" w:styleId="PageNumber">
    <w:name w:val="page number"/>
    <w:basedOn w:val="DefaultParagraphFont"/>
    <w:uiPriority w:val="99"/>
    <w:semiHidden/>
    <w:unhideWhenUsed/>
    <w:rsid w:val="005601F0"/>
  </w:style>
  <w:style w:type="paragraph" w:styleId="ListParagraph">
    <w:name w:val="List Paragraph"/>
    <w:basedOn w:val="Normal"/>
    <w:uiPriority w:val="34"/>
    <w:qFormat/>
    <w:rsid w:val="0016104B"/>
    <w:pPr>
      <w:ind w:left="720"/>
      <w:contextualSpacing/>
    </w:pPr>
  </w:style>
  <w:style w:type="character" w:styleId="Hyperlink">
    <w:name w:val="Hyperlink"/>
    <w:basedOn w:val="DefaultParagraphFont"/>
    <w:uiPriority w:val="99"/>
    <w:semiHidden/>
    <w:unhideWhenUsed/>
    <w:rsid w:val="00D51E44"/>
    <w:rPr>
      <w:color w:val="0000FF" w:themeColor="hyperlink"/>
      <w:u w:val="single"/>
    </w:rPr>
  </w:style>
  <w:style w:type="character" w:styleId="CommentReference">
    <w:name w:val="annotation reference"/>
    <w:basedOn w:val="DefaultParagraphFont"/>
    <w:rsid w:val="00C2087D"/>
    <w:rPr>
      <w:sz w:val="16"/>
      <w:szCs w:val="16"/>
    </w:rPr>
  </w:style>
  <w:style w:type="paragraph" w:styleId="CommentText">
    <w:name w:val="annotation text"/>
    <w:basedOn w:val="Normal"/>
    <w:link w:val="CommentTextChar"/>
    <w:rsid w:val="00C2087D"/>
    <w:rPr>
      <w:sz w:val="20"/>
      <w:szCs w:val="20"/>
    </w:rPr>
  </w:style>
  <w:style w:type="character" w:customStyle="1" w:styleId="CommentTextChar">
    <w:name w:val="Comment Text Char"/>
    <w:basedOn w:val="DefaultParagraphFont"/>
    <w:link w:val="CommentText"/>
    <w:rsid w:val="00C2087D"/>
    <w:rPr>
      <w:rFonts w:ascii="Times New Roman" w:eastAsia="Times New Roman" w:hAnsi="Times New Roman" w:cs="Times New Roman"/>
      <w:sz w:val="20"/>
      <w:szCs w:val="20"/>
      <w:lang w:val="en-AU" w:eastAsia="en-AU"/>
    </w:rPr>
  </w:style>
  <w:style w:type="paragraph" w:styleId="CommentSubject">
    <w:name w:val="annotation subject"/>
    <w:basedOn w:val="CommentText"/>
    <w:next w:val="CommentText"/>
    <w:link w:val="CommentSubjectChar"/>
    <w:rsid w:val="00C2087D"/>
    <w:rPr>
      <w:b/>
      <w:bCs/>
    </w:rPr>
  </w:style>
  <w:style w:type="character" w:customStyle="1" w:styleId="CommentSubjectChar">
    <w:name w:val="Comment Subject Char"/>
    <w:basedOn w:val="CommentTextChar"/>
    <w:link w:val="CommentSubject"/>
    <w:rsid w:val="00C2087D"/>
    <w:rPr>
      <w:rFonts w:ascii="Times New Roman" w:eastAsia="Times New Roman" w:hAnsi="Times New Roman" w:cs="Times New Roman"/>
      <w:b/>
      <w:bCs/>
      <w:sz w:val="20"/>
      <w:szCs w:val="20"/>
      <w:lang w:val="en-AU" w:eastAsia="en-AU"/>
    </w:rPr>
  </w:style>
  <w:style w:type="character" w:customStyle="1" w:styleId="BalloonTextChar1">
    <w:name w:val="Balloon Text Char1"/>
    <w:basedOn w:val="DefaultParagraphFont"/>
    <w:link w:val="BalloonText"/>
    <w:rsid w:val="00C2087D"/>
    <w:rPr>
      <w:rFonts w:ascii="Tahoma" w:eastAsia="Times New Roman" w:hAnsi="Tahoma" w:cs="Tahoma"/>
      <w:sz w:val="16"/>
      <w:szCs w:val="16"/>
      <w:lang w:val="en-AU" w:eastAsia="en-AU"/>
    </w:rPr>
  </w:style>
  <w:style w:type="character" w:styleId="FollowedHyperlink">
    <w:name w:val="FollowedHyperlink"/>
    <w:basedOn w:val="DefaultParagraphFont"/>
    <w:rsid w:val="00CD6748"/>
    <w:rPr>
      <w:color w:val="800080" w:themeColor="followedHyperlink"/>
      <w:u w:val="single"/>
    </w:rPr>
  </w:style>
  <w:style w:type="paragraph" w:styleId="FootnoteText">
    <w:name w:val="footnote text"/>
    <w:basedOn w:val="Normal"/>
    <w:link w:val="FootnoteTextChar"/>
    <w:rsid w:val="00085AFE"/>
  </w:style>
  <w:style w:type="character" w:customStyle="1" w:styleId="FootnoteTextChar">
    <w:name w:val="Footnote Text Char"/>
    <w:basedOn w:val="DefaultParagraphFont"/>
    <w:link w:val="FootnoteText"/>
    <w:rsid w:val="00085AFE"/>
    <w:rPr>
      <w:rFonts w:ascii="Times New Roman" w:eastAsia="Times New Roman" w:hAnsi="Times New Roman" w:cs="Times New Roman"/>
      <w:lang w:val="en-AU" w:eastAsia="en-AU"/>
    </w:rPr>
  </w:style>
  <w:style w:type="character" w:styleId="FootnoteReference">
    <w:name w:val="footnote reference"/>
    <w:basedOn w:val="DefaultParagraphFont"/>
    <w:rsid w:val="00085AFE"/>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33A6"/>
    <w:rPr>
      <w:rFonts w:ascii="Times New Roman" w:eastAsia="Times New Roman" w:hAnsi="Times New Roman" w:cs="Times New Roman"/>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C2087D"/>
    <w:rPr>
      <w:rFonts w:ascii="Tahoma" w:hAnsi="Tahoma" w:cs="Tahoma"/>
      <w:sz w:val="16"/>
      <w:szCs w:val="16"/>
    </w:rPr>
  </w:style>
  <w:style w:type="character" w:customStyle="1" w:styleId="BalloonTextChar">
    <w:name w:val="Balloon Text Char"/>
    <w:basedOn w:val="DefaultParagraphFont"/>
    <w:uiPriority w:val="99"/>
    <w:semiHidden/>
    <w:rsid w:val="00906B07"/>
    <w:rPr>
      <w:rFonts w:ascii="Lucida Grande" w:hAnsi="Lucida Grande"/>
      <w:sz w:val="18"/>
      <w:szCs w:val="18"/>
    </w:rPr>
  </w:style>
  <w:style w:type="character" w:customStyle="1" w:styleId="BalloonTextChar0">
    <w:name w:val="Balloon Text Char"/>
    <w:basedOn w:val="DefaultParagraphFont"/>
    <w:uiPriority w:val="99"/>
    <w:semiHidden/>
    <w:rsid w:val="00030A24"/>
    <w:rPr>
      <w:rFonts w:ascii="Lucida Grande" w:hAnsi="Lucida Grande"/>
      <w:sz w:val="18"/>
      <w:szCs w:val="18"/>
    </w:rPr>
  </w:style>
  <w:style w:type="character" w:customStyle="1" w:styleId="BalloonTextChar2">
    <w:name w:val="Balloon Text Char"/>
    <w:basedOn w:val="DefaultParagraphFont"/>
    <w:uiPriority w:val="99"/>
    <w:semiHidden/>
    <w:rsid w:val="009F06F7"/>
    <w:rPr>
      <w:rFonts w:ascii="Lucida Grande" w:hAnsi="Lucida Grande"/>
      <w:sz w:val="18"/>
      <w:szCs w:val="18"/>
    </w:rPr>
  </w:style>
  <w:style w:type="paragraph" w:styleId="Header">
    <w:name w:val="header"/>
    <w:basedOn w:val="Normal"/>
    <w:link w:val="HeaderChar"/>
    <w:uiPriority w:val="99"/>
    <w:semiHidden/>
    <w:unhideWhenUsed/>
    <w:rsid w:val="006B33A6"/>
    <w:pPr>
      <w:tabs>
        <w:tab w:val="center" w:pos="4320"/>
        <w:tab w:val="right" w:pos="8640"/>
      </w:tabs>
    </w:pPr>
  </w:style>
  <w:style w:type="character" w:customStyle="1" w:styleId="HeaderChar">
    <w:name w:val="Header Char"/>
    <w:basedOn w:val="DefaultParagraphFont"/>
    <w:link w:val="Header"/>
    <w:uiPriority w:val="99"/>
    <w:semiHidden/>
    <w:rsid w:val="006B33A6"/>
    <w:rPr>
      <w:rFonts w:ascii="Times New Roman" w:eastAsia="Times New Roman" w:hAnsi="Times New Roman" w:cs="Times New Roman"/>
      <w:lang w:val="en-AU" w:eastAsia="en-AU"/>
    </w:rPr>
  </w:style>
  <w:style w:type="paragraph" w:styleId="Footer">
    <w:name w:val="footer"/>
    <w:basedOn w:val="Normal"/>
    <w:link w:val="FooterChar"/>
    <w:uiPriority w:val="99"/>
    <w:semiHidden/>
    <w:unhideWhenUsed/>
    <w:rsid w:val="006B33A6"/>
    <w:pPr>
      <w:tabs>
        <w:tab w:val="center" w:pos="4320"/>
        <w:tab w:val="right" w:pos="8640"/>
      </w:tabs>
    </w:pPr>
  </w:style>
  <w:style w:type="character" w:customStyle="1" w:styleId="FooterChar">
    <w:name w:val="Footer Char"/>
    <w:basedOn w:val="DefaultParagraphFont"/>
    <w:link w:val="Footer"/>
    <w:uiPriority w:val="99"/>
    <w:semiHidden/>
    <w:rsid w:val="006B33A6"/>
    <w:rPr>
      <w:rFonts w:ascii="Times New Roman" w:eastAsia="Times New Roman" w:hAnsi="Times New Roman" w:cs="Times New Roman"/>
      <w:lang w:val="en-AU" w:eastAsia="en-AU"/>
    </w:rPr>
  </w:style>
  <w:style w:type="character" w:styleId="PageNumber">
    <w:name w:val="page number"/>
    <w:basedOn w:val="DefaultParagraphFont"/>
    <w:uiPriority w:val="99"/>
    <w:semiHidden/>
    <w:unhideWhenUsed/>
    <w:rsid w:val="005601F0"/>
  </w:style>
  <w:style w:type="paragraph" w:styleId="ListParagraph">
    <w:name w:val="List Paragraph"/>
    <w:basedOn w:val="Normal"/>
    <w:uiPriority w:val="34"/>
    <w:qFormat/>
    <w:rsid w:val="0016104B"/>
    <w:pPr>
      <w:ind w:left="720"/>
      <w:contextualSpacing/>
    </w:pPr>
  </w:style>
  <w:style w:type="character" w:styleId="Hyperlink">
    <w:name w:val="Hyperlink"/>
    <w:basedOn w:val="DefaultParagraphFont"/>
    <w:uiPriority w:val="99"/>
    <w:semiHidden/>
    <w:unhideWhenUsed/>
    <w:rsid w:val="00D51E44"/>
    <w:rPr>
      <w:color w:val="0000FF" w:themeColor="hyperlink"/>
      <w:u w:val="single"/>
    </w:rPr>
  </w:style>
  <w:style w:type="character" w:styleId="CommentReference">
    <w:name w:val="annotation reference"/>
    <w:basedOn w:val="DefaultParagraphFont"/>
    <w:rsid w:val="00C2087D"/>
    <w:rPr>
      <w:sz w:val="16"/>
      <w:szCs w:val="16"/>
    </w:rPr>
  </w:style>
  <w:style w:type="paragraph" w:styleId="CommentText">
    <w:name w:val="annotation text"/>
    <w:basedOn w:val="Normal"/>
    <w:link w:val="CommentTextChar"/>
    <w:rsid w:val="00C2087D"/>
    <w:rPr>
      <w:sz w:val="20"/>
      <w:szCs w:val="20"/>
    </w:rPr>
  </w:style>
  <w:style w:type="character" w:customStyle="1" w:styleId="CommentTextChar">
    <w:name w:val="Comment Text Char"/>
    <w:basedOn w:val="DefaultParagraphFont"/>
    <w:link w:val="CommentText"/>
    <w:rsid w:val="00C2087D"/>
    <w:rPr>
      <w:rFonts w:ascii="Times New Roman" w:eastAsia="Times New Roman" w:hAnsi="Times New Roman" w:cs="Times New Roman"/>
      <w:sz w:val="20"/>
      <w:szCs w:val="20"/>
      <w:lang w:val="en-AU" w:eastAsia="en-AU"/>
    </w:rPr>
  </w:style>
  <w:style w:type="paragraph" w:styleId="CommentSubject">
    <w:name w:val="annotation subject"/>
    <w:basedOn w:val="CommentText"/>
    <w:next w:val="CommentText"/>
    <w:link w:val="CommentSubjectChar"/>
    <w:rsid w:val="00C2087D"/>
    <w:rPr>
      <w:b/>
      <w:bCs/>
    </w:rPr>
  </w:style>
  <w:style w:type="character" w:customStyle="1" w:styleId="CommentSubjectChar">
    <w:name w:val="Comment Subject Char"/>
    <w:basedOn w:val="CommentTextChar"/>
    <w:link w:val="CommentSubject"/>
    <w:rsid w:val="00C2087D"/>
    <w:rPr>
      <w:rFonts w:ascii="Times New Roman" w:eastAsia="Times New Roman" w:hAnsi="Times New Roman" w:cs="Times New Roman"/>
      <w:b/>
      <w:bCs/>
      <w:sz w:val="20"/>
      <w:szCs w:val="20"/>
      <w:lang w:val="en-AU" w:eastAsia="en-AU"/>
    </w:rPr>
  </w:style>
  <w:style w:type="character" w:customStyle="1" w:styleId="BalloonTextChar1">
    <w:name w:val="Balloon Text Char1"/>
    <w:basedOn w:val="DefaultParagraphFont"/>
    <w:link w:val="BalloonText"/>
    <w:rsid w:val="00C2087D"/>
    <w:rPr>
      <w:rFonts w:ascii="Tahoma" w:eastAsia="Times New Roman" w:hAnsi="Tahoma" w:cs="Tahoma"/>
      <w:sz w:val="16"/>
      <w:szCs w:val="16"/>
      <w:lang w:val="en-AU" w:eastAsia="en-AU"/>
    </w:rPr>
  </w:style>
  <w:style w:type="character" w:styleId="FollowedHyperlink">
    <w:name w:val="FollowedHyperlink"/>
    <w:basedOn w:val="DefaultParagraphFont"/>
    <w:rsid w:val="00CD6748"/>
    <w:rPr>
      <w:color w:val="800080" w:themeColor="followedHyperlink"/>
      <w:u w:val="single"/>
    </w:rPr>
  </w:style>
  <w:style w:type="paragraph" w:styleId="FootnoteText">
    <w:name w:val="footnote text"/>
    <w:basedOn w:val="Normal"/>
    <w:link w:val="FootnoteTextChar"/>
    <w:rsid w:val="00085AFE"/>
  </w:style>
  <w:style w:type="character" w:customStyle="1" w:styleId="FootnoteTextChar">
    <w:name w:val="Footnote Text Char"/>
    <w:basedOn w:val="DefaultParagraphFont"/>
    <w:link w:val="FootnoteText"/>
    <w:rsid w:val="00085AFE"/>
    <w:rPr>
      <w:rFonts w:ascii="Times New Roman" w:eastAsia="Times New Roman" w:hAnsi="Times New Roman" w:cs="Times New Roman"/>
      <w:lang w:val="en-AU" w:eastAsia="en-AU"/>
    </w:rPr>
  </w:style>
  <w:style w:type="character" w:styleId="FootnoteReference">
    <w:name w:val="footnote reference"/>
    <w:basedOn w:val="DefaultParagraphFont"/>
    <w:rsid w:val="00085AF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nfed.org/biblio/b-learn.ht"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nfed.org/archives/e-texts/colley_informal_learning.htm" TargetMode="External"/><Relationship Id="rId9" Type="http://schemas.openxmlformats.org/officeDocument/2006/relationships/hyperlink" Target="http://www.oise.utoronto.ca/depts/sese/csew/nall/res/10exploring.htm" TargetMode="External"/><Relationship Id="rId10" Type="http://schemas.openxmlformats.org/officeDocument/2006/relationships/hyperlink" Target="http://www.infed.org.biblio/b-partIn.ht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b.golding@ballarat.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4649</Words>
  <Characters>26500</Characters>
  <Application>Microsoft Macintosh Word</Application>
  <DocSecurity>4</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University of Ballarat</Company>
  <LinksUpToDate>false</LinksUpToDate>
  <CharactersWithSpaces>31087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Golding</dc:creator>
  <cp:lastModifiedBy>Barry Golding</cp:lastModifiedBy>
  <cp:revision>2</cp:revision>
  <dcterms:created xsi:type="dcterms:W3CDTF">2013-07-04T00:56:00Z</dcterms:created>
  <dcterms:modified xsi:type="dcterms:W3CDTF">2013-07-04T00:56:00Z</dcterms:modified>
</cp:coreProperties>
</file>