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027" w:rsidRDefault="00362027" w:rsidP="00362027">
      <w:pPr>
        <w:spacing w:before="120" w:after="120"/>
        <w:rPr>
          <w:b/>
          <w:sz w:val="28"/>
        </w:rPr>
      </w:pPr>
      <w:bookmarkStart w:id="0" w:name="_GoBack"/>
      <w:bookmarkEnd w:id="0"/>
    </w:p>
    <w:p w:rsidR="00D5018F" w:rsidRDefault="00362027" w:rsidP="00D5018F">
      <w:pPr>
        <w:spacing w:before="120" w:after="120"/>
        <w:jc w:val="center"/>
        <w:rPr>
          <w:b/>
          <w:sz w:val="28"/>
        </w:rPr>
      </w:pPr>
      <w:r w:rsidRPr="00F44381">
        <w:rPr>
          <w:b/>
          <w:sz w:val="28"/>
        </w:rPr>
        <w:t xml:space="preserve">The men’s sheds movement: </w:t>
      </w:r>
    </w:p>
    <w:p w:rsidR="00D5018F" w:rsidRDefault="00D5018F" w:rsidP="00D5018F">
      <w:pPr>
        <w:spacing w:before="120" w:after="120"/>
        <w:jc w:val="center"/>
        <w:rPr>
          <w:b/>
          <w:sz w:val="28"/>
        </w:rPr>
      </w:pPr>
      <w:r>
        <w:rPr>
          <w:b/>
          <w:sz w:val="28"/>
        </w:rPr>
        <w:t xml:space="preserve">Some implications for </w:t>
      </w:r>
      <w:r w:rsidR="00866CD0">
        <w:rPr>
          <w:b/>
          <w:sz w:val="28"/>
        </w:rPr>
        <w:t xml:space="preserve">men’s </w:t>
      </w:r>
      <w:r>
        <w:rPr>
          <w:b/>
          <w:sz w:val="28"/>
        </w:rPr>
        <w:t>learning</w:t>
      </w:r>
    </w:p>
    <w:p w:rsidR="00362027" w:rsidRPr="00F44381" w:rsidRDefault="00362027" w:rsidP="00D5018F">
      <w:pPr>
        <w:spacing w:before="120" w:after="120"/>
        <w:jc w:val="center"/>
        <w:rPr>
          <w:b/>
          <w:sz w:val="28"/>
        </w:rPr>
      </w:pPr>
    </w:p>
    <w:p w:rsidR="00866CD0" w:rsidRDefault="00D5018F" w:rsidP="00D5018F">
      <w:pPr>
        <w:spacing w:before="120" w:after="120"/>
        <w:jc w:val="center"/>
        <w:rPr>
          <w:i/>
        </w:rPr>
      </w:pPr>
      <w:r w:rsidRPr="00D5018F">
        <w:rPr>
          <w:i/>
        </w:rPr>
        <w:t>Barry Golding</w:t>
      </w:r>
      <w:r w:rsidR="00866CD0">
        <w:rPr>
          <w:i/>
        </w:rPr>
        <w:t xml:space="preserve"> &amp; Annette Foley</w:t>
      </w:r>
      <w:r w:rsidRPr="00D5018F">
        <w:rPr>
          <w:i/>
        </w:rPr>
        <w:t>,</w:t>
      </w:r>
    </w:p>
    <w:p w:rsidR="00D5018F" w:rsidRDefault="008B6CDC" w:rsidP="00D5018F">
      <w:pPr>
        <w:spacing w:before="120" w:after="120"/>
        <w:jc w:val="center"/>
        <w:rPr>
          <w:i/>
        </w:rPr>
      </w:pPr>
      <w:r>
        <w:rPr>
          <w:i/>
        </w:rPr>
        <w:t xml:space="preserve"> School of Education and Arts,</w:t>
      </w:r>
      <w:r w:rsidR="00D5018F" w:rsidRPr="00D5018F">
        <w:rPr>
          <w:i/>
        </w:rPr>
        <w:t xml:space="preserve"> University of Ballarat, Australia</w:t>
      </w:r>
    </w:p>
    <w:p w:rsidR="00D5018F" w:rsidRDefault="00D5018F" w:rsidP="00D5018F">
      <w:pPr>
        <w:spacing w:before="120" w:after="120"/>
        <w:jc w:val="center"/>
      </w:pPr>
    </w:p>
    <w:p w:rsidR="00D5018F" w:rsidRDefault="00D5018F" w:rsidP="00D5018F">
      <w:pPr>
        <w:spacing w:before="120" w:after="120"/>
        <w:jc w:val="center"/>
      </w:pPr>
      <w:r>
        <w:t>Paper to European Society for Research on the Education of Adults (ESREA) Network on Gender and Adult Learning, University of Coimbra, Portugal</w:t>
      </w:r>
    </w:p>
    <w:p w:rsidR="00D5018F" w:rsidRDefault="00D5018F" w:rsidP="00D5018F">
      <w:pPr>
        <w:spacing w:before="120" w:after="120"/>
        <w:jc w:val="center"/>
      </w:pPr>
      <w:r>
        <w:t>10-12 October 2013</w:t>
      </w:r>
    </w:p>
    <w:p w:rsidR="00D5018F" w:rsidRDefault="00D5018F" w:rsidP="00866CD0">
      <w:pPr>
        <w:spacing w:before="120" w:after="120"/>
      </w:pPr>
    </w:p>
    <w:p w:rsidR="00D5018F" w:rsidRPr="00D5018F" w:rsidRDefault="00866CD0" w:rsidP="00D5018F">
      <w:pPr>
        <w:spacing w:before="120" w:after="120"/>
        <w:jc w:val="center"/>
        <w:rPr>
          <w:b/>
        </w:rPr>
      </w:pPr>
      <w:r>
        <w:rPr>
          <w:b/>
        </w:rPr>
        <w:t xml:space="preserve">Paper </w:t>
      </w:r>
      <w:r w:rsidR="00D5018F" w:rsidRPr="00D5018F">
        <w:rPr>
          <w:b/>
        </w:rPr>
        <w:t>Abstract</w:t>
      </w:r>
    </w:p>
    <w:p w:rsidR="00866CD0" w:rsidRDefault="00866CD0" w:rsidP="00866CD0"/>
    <w:p w:rsidR="00866CD0" w:rsidRDefault="00866CD0" w:rsidP="00866CD0">
      <w:pPr>
        <w:pBdr>
          <w:top w:val="single" w:sz="4" w:space="1" w:color="auto"/>
          <w:left w:val="single" w:sz="4" w:space="4" w:color="auto"/>
          <w:bottom w:val="single" w:sz="4" w:space="1" w:color="auto"/>
          <w:right w:val="single" w:sz="4" w:space="4" w:color="auto"/>
        </w:pBdr>
      </w:pPr>
    </w:p>
    <w:p w:rsidR="00866CD0" w:rsidRPr="00866CD0" w:rsidRDefault="00866CD0" w:rsidP="00866CD0">
      <w:pPr>
        <w:pBdr>
          <w:top w:val="single" w:sz="4" w:space="1" w:color="auto"/>
          <w:left w:val="single" w:sz="4" w:space="4" w:color="auto"/>
          <w:bottom w:val="single" w:sz="4" w:space="1" w:color="auto"/>
          <w:right w:val="single" w:sz="4" w:space="4" w:color="auto"/>
        </w:pBdr>
        <w:jc w:val="center"/>
        <w:rPr>
          <w:sz w:val="22"/>
        </w:rPr>
      </w:pPr>
      <w:r w:rsidRPr="00866CD0">
        <w:rPr>
          <w:sz w:val="22"/>
        </w:rPr>
        <w:t>To</w:t>
      </w:r>
      <w:r>
        <w:rPr>
          <w:sz w:val="22"/>
        </w:rPr>
        <w:t xml:space="preserve"> C</w:t>
      </w:r>
      <w:r w:rsidRPr="00866CD0">
        <w:rPr>
          <w:sz w:val="22"/>
        </w:rPr>
        <w:t>ristina Maria Coimbra Vie</w:t>
      </w:r>
      <w:r>
        <w:rPr>
          <w:sz w:val="22"/>
        </w:rPr>
        <w:t>i</w:t>
      </w:r>
      <w:r w:rsidRPr="00866CD0">
        <w:rPr>
          <w:sz w:val="22"/>
        </w:rPr>
        <w:t xml:space="preserve">ra, University of Coimbra, Portugal </w:t>
      </w:r>
      <w:hyperlink r:id="rId7" w:history="1">
        <w:r w:rsidRPr="00866CD0">
          <w:rPr>
            <w:rStyle w:val="Hyperlink"/>
            <w:sz w:val="22"/>
          </w:rPr>
          <w:t>vieira@fpce.uc.pt</w:t>
        </w:r>
      </w:hyperlink>
    </w:p>
    <w:p w:rsidR="00866CD0" w:rsidRDefault="00866CD0" w:rsidP="00866CD0">
      <w:pPr>
        <w:pBdr>
          <w:top w:val="single" w:sz="4" w:space="1" w:color="auto"/>
          <w:left w:val="single" w:sz="4" w:space="4" w:color="auto"/>
          <w:bottom w:val="single" w:sz="4" w:space="1" w:color="auto"/>
          <w:right w:val="single" w:sz="4" w:space="4" w:color="auto"/>
        </w:pBdr>
        <w:jc w:val="center"/>
      </w:pPr>
    </w:p>
    <w:p w:rsidR="00866CD0" w:rsidRDefault="00866CD0" w:rsidP="00866CD0">
      <w:pPr>
        <w:pBdr>
          <w:top w:val="single" w:sz="4" w:space="1" w:color="auto"/>
          <w:left w:val="single" w:sz="4" w:space="4" w:color="auto"/>
          <w:bottom w:val="single" w:sz="4" w:space="1" w:color="auto"/>
          <w:right w:val="single" w:sz="4" w:space="4" w:color="auto"/>
        </w:pBdr>
        <w:jc w:val="center"/>
        <w:rPr>
          <w:sz w:val="22"/>
        </w:rPr>
      </w:pPr>
      <w:r w:rsidRPr="00866CD0">
        <w:rPr>
          <w:sz w:val="22"/>
        </w:rPr>
        <w:t xml:space="preserve">From Barry Golding </w:t>
      </w:r>
      <w:hyperlink r:id="rId8" w:history="1">
        <w:r w:rsidRPr="00677388">
          <w:rPr>
            <w:rStyle w:val="Hyperlink"/>
            <w:sz w:val="22"/>
          </w:rPr>
          <w:t>b.golding@ballarat.edu.au</w:t>
        </w:r>
      </w:hyperlink>
      <w:r>
        <w:rPr>
          <w:sz w:val="22"/>
        </w:rPr>
        <w:t xml:space="preserve"> </w:t>
      </w:r>
    </w:p>
    <w:p w:rsidR="00866CD0" w:rsidRDefault="00866CD0" w:rsidP="00866CD0">
      <w:pPr>
        <w:pBdr>
          <w:top w:val="single" w:sz="4" w:space="1" w:color="auto"/>
          <w:left w:val="single" w:sz="4" w:space="4" w:color="auto"/>
          <w:bottom w:val="single" w:sz="4" w:space="1" w:color="auto"/>
          <w:right w:val="single" w:sz="4" w:space="4" w:color="auto"/>
        </w:pBdr>
        <w:jc w:val="center"/>
        <w:rPr>
          <w:sz w:val="22"/>
        </w:rPr>
      </w:pPr>
    </w:p>
    <w:p w:rsidR="00866CD0" w:rsidRDefault="000D38F2" w:rsidP="00866CD0">
      <w:pPr>
        <w:pBdr>
          <w:top w:val="single" w:sz="4" w:space="1" w:color="auto"/>
          <w:left w:val="single" w:sz="4" w:space="4" w:color="auto"/>
          <w:bottom w:val="single" w:sz="4" w:space="1" w:color="auto"/>
          <w:right w:val="single" w:sz="4" w:space="4" w:color="auto"/>
        </w:pBdr>
        <w:jc w:val="center"/>
        <w:rPr>
          <w:sz w:val="22"/>
        </w:rPr>
      </w:pPr>
      <w:r>
        <w:rPr>
          <w:sz w:val="22"/>
        </w:rPr>
        <w:t>562</w:t>
      </w:r>
      <w:r w:rsidR="00866CD0">
        <w:rPr>
          <w:sz w:val="22"/>
        </w:rPr>
        <w:t xml:space="preserve"> words </w:t>
      </w:r>
      <w:r>
        <w:rPr>
          <w:sz w:val="22"/>
        </w:rPr>
        <w:t xml:space="preserve">(492 in abstract plus 70 words in References: Target </w:t>
      </w:r>
      <w:r w:rsidR="00866CD0">
        <w:rPr>
          <w:sz w:val="22"/>
        </w:rPr>
        <w:t>no more than 500-600 words)</w:t>
      </w:r>
    </w:p>
    <w:p w:rsidR="00866CD0" w:rsidRPr="00866CD0" w:rsidRDefault="00866CD0" w:rsidP="00866CD0">
      <w:pPr>
        <w:pBdr>
          <w:top w:val="single" w:sz="4" w:space="1" w:color="auto"/>
          <w:left w:val="single" w:sz="4" w:space="4" w:color="auto"/>
          <w:bottom w:val="single" w:sz="4" w:space="1" w:color="auto"/>
          <w:right w:val="single" w:sz="4" w:space="4" w:color="auto"/>
        </w:pBdr>
        <w:jc w:val="center"/>
        <w:rPr>
          <w:sz w:val="22"/>
        </w:rPr>
      </w:pPr>
    </w:p>
    <w:p w:rsidR="00866CD0" w:rsidRDefault="00866CD0" w:rsidP="00866CD0"/>
    <w:p w:rsidR="00362027" w:rsidRDefault="00362027" w:rsidP="00D5018F">
      <w:pPr>
        <w:spacing w:before="120" w:after="120"/>
        <w:jc w:val="center"/>
      </w:pPr>
    </w:p>
    <w:p w:rsidR="00E53A65" w:rsidRDefault="00D5018F" w:rsidP="00E53A65">
      <w:pPr>
        <w:spacing w:before="120" w:after="120"/>
      </w:pPr>
      <w:r>
        <w:t>C</w:t>
      </w:r>
      <w:r w:rsidR="00362027">
        <w:t xml:space="preserve">ommunity men’s </w:t>
      </w:r>
      <w:r>
        <w:t xml:space="preserve">sheds </w:t>
      </w:r>
      <w:r w:rsidR="00362027">
        <w:t xml:space="preserve">and the </w:t>
      </w:r>
      <w:r>
        <w:t xml:space="preserve">international </w:t>
      </w:r>
      <w:r w:rsidR="00362027">
        <w:t xml:space="preserve">movement associated with </w:t>
      </w:r>
      <w:r>
        <w:t xml:space="preserve">them provide </w:t>
      </w:r>
      <w:r w:rsidR="00362027">
        <w:t xml:space="preserve">an excellent example of one of many possible neat fits between men’s learning and wellbeing, paradoxically and almost counter-intuitively without </w:t>
      </w:r>
      <w:r>
        <w:t xml:space="preserve">formalising or </w:t>
      </w:r>
      <w:r w:rsidR="00362027">
        <w:t xml:space="preserve">foregrounding either. </w:t>
      </w:r>
      <w:r>
        <w:t xml:space="preserve">The </w:t>
      </w:r>
      <w:r w:rsidR="00362027">
        <w:t xml:space="preserve">intention </w:t>
      </w:r>
      <w:r>
        <w:t xml:space="preserve">of </w:t>
      </w:r>
      <w:r w:rsidR="00866CD0">
        <w:t>our</w:t>
      </w:r>
      <w:r>
        <w:t xml:space="preserve"> paper </w:t>
      </w:r>
      <w:r w:rsidR="00362027">
        <w:t xml:space="preserve">is to </w:t>
      </w:r>
      <w:r w:rsidR="000B5760">
        <w:t xml:space="preserve">explore </w:t>
      </w:r>
      <w:r w:rsidR="008B6CDC">
        <w:t xml:space="preserve">how </w:t>
      </w:r>
      <w:r w:rsidR="000B5760">
        <w:t xml:space="preserve">men’s sheds in community settings </w:t>
      </w:r>
      <w:r w:rsidR="008B6CDC">
        <w:t>might point towards</w:t>
      </w:r>
      <w:r w:rsidR="00362027">
        <w:t xml:space="preserve"> a w</w:t>
      </w:r>
      <w:r>
        <w:t xml:space="preserve">ay of </w:t>
      </w:r>
      <w:r w:rsidR="00362027">
        <w:t>radically c</w:t>
      </w:r>
      <w:r w:rsidR="000B5760">
        <w:t>hanging thinking about men’s informal learning</w:t>
      </w:r>
      <w:r>
        <w:t xml:space="preserve">, particularly for the significant proportion of </w:t>
      </w:r>
      <w:r w:rsidR="008B6CDC">
        <w:t xml:space="preserve">older </w:t>
      </w:r>
      <w:r>
        <w:t>men not in paid work</w:t>
      </w:r>
      <w:r w:rsidR="00362027">
        <w:t xml:space="preserve">. What underpins this thinking is research into returns to adult education from nations such as Australia and Canada </w:t>
      </w:r>
      <w:r w:rsidR="00E53A65">
        <w:t xml:space="preserve">that </w:t>
      </w:r>
      <w:r w:rsidR="00362027">
        <w:t xml:space="preserve">while the least educated are least likely to participate, when they do participate </w:t>
      </w:r>
      <w:r w:rsidR="00E53A65">
        <w:t>they are most likely to benefit, and that training alone</w:t>
      </w:r>
      <w:r w:rsidR="00362027">
        <w:t xml:space="preserve"> represent</w:t>
      </w:r>
      <w:r w:rsidR="00E53A65">
        <w:t>s</w:t>
      </w:r>
      <w:r w:rsidR="00362027">
        <w:t xml:space="preserve"> an inefficient investm</w:t>
      </w:r>
      <w:r w:rsidR="00E53A65">
        <w:t>ent policy for the less skilled</w:t>
      </w:r>
      <w:r w:rsidR="00362027">
        <w:t xml:space="preserve">. </w:t>
      </w:r>
      <w:r w:rsidR="00866CD0">
        <w:t>Our</w:t>
      </w:r>
      <w:r w:rsidR="000B5760">
        <w:t xml:space="preserve"> paper is </w:t>
      </w:r>
      <w:r w:rsidR="00866CD0">
        <w:t xml:space="preserve">also </w:t>
      </w:r>
      <w:r w:rsidR="000B5760">
        <w:t>consistent with Coombs and Ahmed’s (1974, p.8)</w:t>
      </w:r>
      <w:r w:rsidR="00362675">
        <w:t xml:space="preserve"> contention that informal education is ‘the lifelong process by which every individual acquires and accumulates knowledge, skills</w:t>
      </w:r>
      <w:r w:rsidR="008B6CDC">
        <w:t>,</w:t>
      </w:r>
      <w:r w:rsidR="00362675">
        <w:t xml:space="preserve"> attitudes and insights from daily exposure to the environment –</w:t>
      </w:r>
      <w:r w:rsidR="008B6CDC">
        <w:t xml:space="preserve"> </w:t>
      </w:r>
      <w:r w:rsidR="00362675">
        <w:t>at home, at work, at play.’</w:t>
      </w:r>
      <w:r w:rsidR="000B5760">
        <w:t xml:space="preserve"> </w:t>
      </w:r>
      <w:r w:rsidR="00362675">
        <w:t xml:space="preserve">Indeed, important aspects of all three are </w:t>
      </w:r>
      <w:r w:rsidR="008B6CDC">
        <w:t>embedded</w:t>
      </w:r>
      <w:r w:rsidR="00362675">
        <w:t xml:space="preserve"> within a </w:t>
      </w:r>
      <w:r w:rsidR="008B6CDC">
        <w:t xml:space="preserve">community </w:t>
      </w:r>
      <w:r w:rsidR="00362675">
        <w:t xml:space="preserve">men’s shed setting. </w:t>
      </w:r>
      <w:r w:rsidR="00362027">
        <w:t xml:space="preserve">While </w:t>
      </w:r>
      <w:r w:rsidR="008B6CDC">
        <w:t>sheds have been</w:t>
      </w:r>
      <w:r w:rsidR="00362027">
        <w:t xml:space="preserve"> particularly </w:t>
      </w:r>
      <w:r w:rsidR="008B6CDC">
        <w:t xml:space="preserve">attractive </w:t>
      </w:r>
      <w:r w:rsidR="00362027">
        <w:t>to older men excluded in one or more dimension</w:t>
      </w:r>
      <w:r>
        <w:t>s</w:t>
      </w:r>
      <w:r w:rsidR="00362027">
        <w:t xml:space="preserve"> (economic, social, spatial and </w:t>
      </w:r>
      <w:r w:rsidR="00E53A65">
        <w:t>institutional)</w:t>
      </w:r>
      <w:r w:rsidR="00362027">
        <w:t xml:space="preserve">, it is important to </w:t>
      </w:r>
      <w:r w:rsidR="00866CD0">
        <w:t>acknowledge</w:t>
      </w:r>
      <w:r w:rsidR="00362027">
        <w:t xml:space="preserve"> that </w:t>
      </w:r>
      <w:r>
        <w:t xml:space="preserve">men’s </w:t>
      </w:r>
      <w:r w:rsidR="00362027">
        <w:t>sheds can and do accommodate men of all ages, and that some sheds specialize in young people.</w:t>
      </w:r>
      <w:r>
        <w:t xml:space="preserve"> It is also important in a </w:t>
      </w:r>
      <w:r w:rsidR="008B6CDC">
        <w:t xml:space="preserve">paper to a conference </w:t>
      </w:r>
      <w:r>
        <w:t xml:space="preserve">about gendered adult learning to acknowledge </w:t>
      </w:r>
      <w:r w:rsidR="008B6CDC">
        <w:t>and explore what an important but often subtle roles</w:t>
      </w:r>
      <w:r>
        <w:t xml:space="preserve"> women have played in shed development.</w:t>
      </w:r>
      <w:r w:rsidR="00E53A65">
        <w:t xml:space="preserve"> </w:t>
      </w:r>
      <w:r>
        <w:t xml:space="preserve">Men’s sheds </w:t>
      </w:r>
      <w:r w:rsidR="008B6CDC">
        <w:t>demonstrate how a</w:t>
      </w:r>
      <w:r w:rsidR="00362027">
        <w:t xml:space="preserve"> community-based, grassroots international movement </w:t>
      </w:r>
      <w:r w:rsidR="008B6CDC">
        <w:t>embedding</w:t>
      </w:r>
      <w:r w:rsidR="000B5760">
        <w:t xml:space="preserve"> </w:t>
      </w:r>
      <w:r w:rsidR="00362027">
        <w:t xml:space="preserve">both learning and wellbeing can be </w:t>
      </w:r>
      <w:r w:rsidR="00362027">
        <w:lastRenderedPageBreak/>
        <w:t xml:space="preserve">advanced by collective action by men </w:t>
      </w:r>
      <w:r w:rsidR="008B6CDC">
        <w:t xml:space="preserve">themselves in community setting. </w:t>
      </w:r>
      <w:r w:rsidR="00E53A65">
        <w:t>The critical condition is that</w:t>
      </w:r>
      <w:r w:rsidR="00362027">
        <w:t xml:space="preserve"> men are not treated as customers, patients, students or clients from negative, deficit or ageist models. While the shed movement started slowly and from small beginnings in parts of Australia, its </w:t>
      </w:r>
      <w:r w:rsidR="00866CD0">
        <w:t xml:space="preserve">very </w:t>
      </w:r>
      <w:r w:rsidR="00362027">
        <w:t xml:space="preserve">recent and rapid spread across and well beyond Australia to New Zealand, Ireland, and England is evidence of what can and does happen when men exercise agency, and when governments listen to and work </w:t>
      </w:r>
      <w:r w:rsidR="00E53A65">
        <w:t>with men rather than problematis</w:t>
      </w:r>
      <w:r w:rsidR="00362027">
        <w:t xml:space="preserve">e or patronise. </w:t>
      </w:r>
      <w:r w:rsidR="00E53A65">
        <w:t xml:space="preserve">On one hand </w:t>
      </w:r>
      <w:r w:rsidR="00866CD0">
        <w:t>our</w:t>
      </w:r>
      <w:r w:rsidR="00E53A65">
        <w:t xml:space="preserve"> paper suggests that while sheds are conservative in that they reinforce and celebrate some traditional ways of being a man and doing things together, ‘shoulder to shoulder’. On the other hand </w:t>
      </w:r>
      <w:r w:rsidR="00866CD0">
        <w:t>men’s sheds</w:t>
      </w:r>
      <w:r w:rsidR="00E53A65">
        <w:t xml:space="preserve"> are radical in that they are based on models of community involvement that are democratic and inclusive, which eschew negative and hegemonic masculini</w:t>
      </w:r>
      <w:r w:rsidR="00866CD0">
        <w:t>ties, are respectful of women,</w:t>
      </w:r>
      <w:r w:rsidR="00E53A65">
        <w:t xml:space="preserve"> encouraging of salutogenic (health promoting) behaviour and </w:t>
      </w:r>
      <w:r w:rsidR="000D38F2">
        <w:t>of</w:t>
      </w:r>
      <w:r w:rsidR="00E53A65">
        <w:t xml:space="preserve"> learner autonomy. This final condition is consistent with meta-analyses into research across all forms learning (Black, McCormick, James &amp; Pedder, 2006) that an ‘</w:t>
      </w:r>
      <w:r w:rsidR="00E53A65" w:rsidRPr="00E53A65">
        <w:t>emphasis should be placed on practices, in both individual and collaborative contexts that seem to have the potential to promote … autonomy in learning. This would seem to be the most secure foundation for lifelong learning</w:t>
      </w:r>
      <w:r w:rsidR="00E53A65">
        <w:t>.’</w:t>
      </w:r>
    </w:p>
    <w:p w:rsidR="00E53A65" w:rsidRDefault="00E53A65" w:rsidP="00E53A65"/>
    <w:p w:rsidR="00E53A65" w:rsidRPr="00E53A65" w:rsidRDefault="00E53A65" w:rsidP="00E53A65">
      <w:pPr>
        <w:ind w:left="567" w:hanging="567"/>
        <w:rPr>
          <w:b/>
          <w:sz w:val="22"/>
        </w:rPr>
      </w:pPr>
      <w:r w:rsidRPr="00E53A65">
        <w:rPr>
          <w:b/>
          <w:sz w:val="22"/>
        </w:rPr>
        <w:t xml:space="preserve">References cited in the </w:t>
      </w:r>
      <w:r>
        <w:rPr>
          <w:b/>
          <w:sz w:val="22"/>
        </w:rPr>
        <w:t>Paper</w:t>
      </w:r>
      <w:r w:rsidR="00866CD0">
        <w:rPr>
          <w:b/>
          <w:sz w:val="22"/>
        </w:rPr>
        <w:t xml:space="preserve"> </w:t>
      </w:r>
      <w:r w:rsidRPr="00E53A65">
        <w:rPr>
          <w:b/>
          <w:sz w:val="22"/>
        </w:rPr>
        <w:t>Abstract</w:t>
      </w:r>
    </w:p>
    <w:p w:rsidR="00E53A65" w:rsidRDefault="00E53A65" w:rsidP="00E53A65">
      <w:pPr>
        <w:rPr>
          <w:sz w:val="22"/>
        </w:rPr>
      </w:pPr>
    </w:p>
    <w:p w:rsidR="00E53A65" w:rsidRPr="00E53A65" w:rsidRDefault="00E53A65" w:rsidP="00E53A65">
      <w:pPr>
        <w:ind w:left="567" w:hanging="567"/>
        <w:rPr>
          <w:sz w:val="22"/>
        </w:rPr>
      </w:pPr>
      <w:r w:rsidRPr="00E53A65">
        <w:rPr>
          <w:sz w:val="22"/>
        </w:rPr>
        <w:t xml:space="preserve">Black, P., McCormick, R., James, M. &amp; Pedder, D. (2006) Learning how to learn and assessment for learning: A theoretical inquiry. </w:t>
      </w:r>
      <w:r w:rsidRPr="00E53A65">
        <w:rPr>
          <w:i/>
          <w:sz w:val="22"/>
        </w:rPr>
        <w:t>Research Papers in Education</w:t>
      </w:r>
      <w:r w:rsidRPr="00E53A65">
        <w:rPr>
          <w:sz w:val="22"/>
        </w:rPr>
        <w:t xml:space="preserve"> 21(2), pp 119-132.</w:t>
      </w:r>
    </w:p>
    <w:p w:rsidR="00E53A65" w:rsidRPr="00E53A65" w:rsidRDefault="00E53A65" w:rsidP="00E53A65">
      <w:pPr>
        <w:ind w:left="567" w:hanging="567"/>
        <w:rPr>
          <w:sz w:val="22"/>
        </w:rPr>
      </w:pPr>
      <w:r w:rsidRPr="00E53A65">
        <w:rPr>
          <w:sz w:val="22"/>
        </w:rPr>
        <w:t>Coombs, P. &amp; Ahmed, M. (1974</w:t>
      </w:r>
      <w:r w:rsidRPr="00E53A65">
        <w:rPr>
          <w:i/>
          <w:sz w:val="22"/>
        </w:rPr>
        <w:t>) Attacking rural poverty: How nonformal education can help</w:t>
      </w:r>
      <w:r w:rsidRPr="00E53A65">
        <w:rPr>
          <w:sz w:val="22"/>
        </w:rPr>
        <w:t>, B. Israel (ed.) A research report for the World Bank, International Council for Educational Development, World Bank. Baltimore: Johns Hopkins University Press.</w:t>
      </w:r>
    </w:p>
    <w:p w:rsidR="00866CD0" w:rsidRDefault="00866CD0" w:rsidP="00362027">
      <w:pPr>
        <w:rPr>
          <w:b/>
        </w:rPr>
      </w:pPr>
    </w:p>
    <w:p w:rsidR="00362027" w:rsidRPr="00515235" w:rsidRDefault="00362027" w:rsidP="00362027">
      <w:pPr>
        <w:rPr>
          <w:b/>
        </w:rPr>
      </w:pPr>
      <w:r w:rsidRPr="00515235">
        <w:rPr>
          <w:b/>
        </w:rPr>
        <w:t>Introduction</w:t>
      </w:r>
      <w:r>
        <w:rPr>
          <w:b/>
        </w:rPr>
        <w:t>: the timeliness of men’s sheds as a concept</w:t>
      </w:r>
    </w:p>
    <w:p w:rsidR="00362027" w:rsidRDefault="00362027" w:rsidP="00362027"/>
    <w:p w:rsidR="00362027" w:rsidRDefault="00362027" w:rsidP="00362027">
      <w:r>
        <w:t>Men’s sheds and similar workshop and garden shed-type spaces have been recognized by men as for many decades as important and culturally iconic places for men to potter, do and fix things in diverse, mainly Western nations. Men’s sheds in community settings are an Australian innovation less than two decades old. Earle (1996) researching in South Australia was the first to formally link participation in personal sheds as a compensatory strategy used by older men as they age, and also to extrapolate from personal sheds to the idea of community sheds. This early theoretical breakthrough by Earle (a gerontologist) is consistent with and follows work by William Thomas (Eden Alternative, 2009) in the field of gerontology from 1991 on the ‘Eden Alternative’ (EA). Like some men’s sheds, EA addressed three perceived plagues then evident in nursing homes (Brune, 2011, p.508): loneliness, helplessness and boredom, by focusing instead of on deficit, by considering and positively working with people’s individual needs, desires, life patterns, accomplishments, growth, contributions and connections to families and to the community (Brune, 2011, p.509). While these principles have since begun to influence culture change in long term aged care, some of the same principles apply and have been broadened to men’s shed principles and practice. As with the men’s sheds movement, ‘the culture-change movement [spread] in advance of a solid research base to support its quality of life improvement claims’ (Brune, 2011, p.514).</w:t>
      </w:r>
    </w:p>
    <w:p w:rsidR="00362027" w:rsidRDefault="00362027" w:rsidP="00362027"/>
    <w:p w:rsidR="00362027" w:rsidRDefault="00362027" w:rsidP="00362027">
      <w:r>
        <w:t xml:space="preserve">One of the oldest continually operating men’s sheds, and one of the most influential in terms of the movement’s early development, is the Lane Cove Men’s Shed in Sydney (ironically in a former car part underneath and aged care centre). It was instigated in 1998 ‘to promote the health and wellbeing of older men in the community, and to provide a place to meet each other, network and make friends’ (NSW Hansard, 2004). The Lane Cove shed was particularly aimed at men in the community over age 55, ‘men who are retired, outplaced or job redundant, those who have downsized living arrangements and those who feel isolated’. This transformation of the shed from an individual, mainly private place for men to make and fix things, typically in their own backyards, to a collective, community space mainly for men with underlying and powerful wellbeing, group participation and social learning purposes and outcomes is worthy of closer examination for four main reasons. </w:t>
      </w:r>
    </w:p>
    <w:p w:rsidR="00362027" w:rsidRDefault="00362027" w:rsidP="00362027"/>
    <w:p w:rsidR="00362027" w:rsidRDefault="00362027" w:rsidP="00362027">
      <w:r>
        <w:t xml:space="preserve">Firstly, it demonstrates the multiple social benefits of learning, including connecting with individuals who have similar interests (MacKean, 2009) through the creation of social networks outside of the workplace (Englebrecht, 2010). Secondly it provides pointers to new ways of positively connecting learning with health and wellbeing. Thirdly, men’s sheds incorporate alternative ways of perceiving of and working with men as agents actively involved in transformation that goes well beyond themselves to include other men and communities, rather than seeking them as patients, clients, customers or students from deficit models of provision. </w:t>
      </w:r>
    </w:p>
    <w:p w:rsidR="00362027" w:rsidRDefault="00362027" w:rsidP="00362027"/>
    <w:p w:rsidR="00362027" w:rsidRDefault="00362027" w:rsidP="00362027">
      <w:r>
        <w:t xml:space="preserve">Fourth and importantly, it shines a light on the need for less conventional services for the one third of men not in paid work who fall outside the dominant discourse in most developed nations about work and productivity. This discourse regards men not in work and older men in particular, as burdensome problems. Men’s sheds took particular traction in Australia at the same time as early retirements were being </w:t>
      </w:r>
      <w:r w:rsidR="00DD50DA">
        <w:t>described as endemic’ (Kinsella-Taylor</w:t>
      </w:r>
      <w:r>
        <w:t xml:space="preserve">, 2001) and as governments struggled to replace lost income tax and prepare for a looming ageing population, seeing them, unfairly (VECCI, 2003) as an unsustainable cost item in care and partly responsible for the loss of national productivity and skills shortages. Over the following decade as sheds have spread in Australia, labour force participation of older men (aged 55+) has increased (to 42% by 2009: ABS 2010, p.2), though in 2009 two out of five people in Australia aged 55-69 who were not in the labour force (41 per cent of whom were men) listed their main activity as being retired or voluntarily inactive (ABS, 2010, p.6). </w:t>
      </w:r>
    </w:p>
    <w:p w:rsidR="00362027" w:rsidRDefault="00362027" w:rsidP="00362027"/>
    <w:p w:rsidR="00362027" w:rsidRDefault="00362027" w:rsidP="00362027">
      <w:r>
        <w:t>Meantime, globally the proportion of people aged 60+ as a percentage of the total population trends upwards, from a low 5 to 12 per cent in all continents to a predicted 17 to 30 per cent by 2030 (with the exception of Africa) and 24-34 per cent (again with the exception of Africa at 11%) by 2050 (UN, 2008). This trebling of people in older age cohorts in one century, with Europe clearly in the lead, is unprecedented in human history. It challenges notions about the nature of life post-retirement and the age of retirement itself, originally set at the age when most people who worked died soon afterwards. These challenges are particularly relevant also to the significant proportion of the population in many European nations of unemployed people, approaching or exceeding 25 per cent in 2013, as well as the large additional pool of additional discouraged job seekers who have stopped looking for work. In pre-GFC economies based around training for work, thinking about what men might do in Europe when not in paid work for whatever reason is extremely timely. Indeed, combating ‘social exclusion among older people by encouraging them to actively participate in their communities as locals and regional level’ and preventing ‘dependency when people become old’ were two of the three challenges (the third being helping ‘people to stay at work longer’ in the 2012 European Year of Active Ageing and Solidarity between Generations (EU, 2012). This thinking is also important beyond Europe in nations like Australia whose economy has been more resilient, but where ageing women, baby boomers, those on low incomes and in the poorest health have been most affected by the GFC (Noone, 2012).</w:t>
      </w:r>
    </w:p>
    <w:p w:rsidR="00362027" w:rsidRDefault="00362027" w:rsidP="00362027"/>
    <w:p w:rsidR="00362027" w:rsidRPr="006E40A8" w:rsidRDefault="00362027" w:rsidP="00362027">
      <w:pPr>
        <w:rPr>
          <w:i/>
        </w:rPr>
      </w:pPr>
      <w:r w:rsidRPr="006E40A8">
        <w:rPr>
          <w:i/>
        </w:rPr>
        <w:t>The research evidence</w:t>
      </w:r>
    </w:p>
    <w:p w:rsidR="00362027" w:rsidRDefault="00362027" w:rsidP="00362027"/>
    <w:p w:rsidR="00362027" w:rsidRDefault="00362027" w:rsidP="00362027">
      <w:r>
        <w:t xml:space="preserve">Given that the field of men’s shed practice is very new it is unsurprising that there is a limited body of rigorous, peer-reviewed research in this new and exploratory area of study, as summarised by Wilson and Cordier (2013). Major, multi-site definitive, mixed method Australian studies include those by Golding, Brown, Foley, Harvey and Gleeson (2007), Hayes and Williamson (2007) and Misan, Haren and Ledo (2008). With over one thousand men’s shed based organisation in the world including 900 in Australia and 100 in Ireland the evidence that they have achieved widespread and spontaneous take up at the level of community. One of the difficulties with scientifically proving impact is that men’s sheds, even if they were very similar to each other (which they are not), don’t neatly fit into one academic field or lend themselves to an easy study based around a positivistic scientific paradigm or the sort of quantitative inferential analysis sought by Wilson and Cordier, on their questionable assumption that ‘male health initiatives are a central part of the movement’s ethos’ (p.34). That said there is sufficient evidence from a range of Australian studies reviewed by Wilson and Cordier and from Ireland (Carragher, 2013, p.XXXADD# fromFINAL CONCLUSION) to confirm ‘a wide range of benefits to the men who participate in sheds, their families and the wider community’.  </w:t>
      </w:r>
    </w:p>
    <w:p w:rsidR="00362027" w:rsidRDefault="00362027" w:rsidP="00362027"/>
    <w:p w:rsidR="00362027" w:rsidRDefault="00362027" w:rsidP="00362027">
      <w:r>
        <w:t xml:space="preserve">The serious mistake here would be to perceive research, or discuss sheds on the assumption that they have </w:t>
      </w:r>
      <w:r w:rsidRPr="003E78B1">
        <w:rPr>
          <w:i/>
        </w:rPr>
        <w:t>only one</w:t>
      </w:r>
      <w:r>
        <w:t xml:space="preserve"> primary function premised on addressing deficit, such as targeting men’s perceived need for learning, education, training or employment, during health, retirement, unemployment, depression or dementia; for seeing them as a convenient place for ‘tacking on’ top-down services and professionals to address men’s perceived need for socialisation, psychological support or nutrition, or else for addressing some men’s issues with drugs and alcohol, suicide or as an alternative to community corrections. While all of these things are possible through sheds, there are many more obvious, positive intentions and outcomes including activity, fun, relationships, friendship, and giving back to the community. These other ‘soft outcomes’ are not premised on deficit and are not as amenable to efficient, standardised, cost-driven and regulation-compliant, hierarchical, departmentalized, top-down, management provision of services typically found in hospitals, nursing homes and retirement communities (Brune, 2011). Nor are sheds amenable to meeting the associated expectations of meeting targets that increasingly go with government funding and performativity agendas.</w:t>
      </w:r>
    </w:p>
    <w:p w:rsidR="00362027" w:rsidRDefault="00362027" w:rsidP="00362027"/>
    <w:p w:rsidR="00362027" w:rsidRDefault="00362027" w:rsidP="00362027">
      <w:r>
        <w:t>A reminder here that while our common academic interest and biases as authors of this book and in the rest of this chapter is in men’s learning, there is now copious evidence, further teased out below, that sheds work and produce outcomes including men’s family and community wellbeing in ways that deliberately and sometimes subversively cut across many fields and radically challenge many previous academic assumptions, particularly about age, men, agency and community.</w:t>
      </w:r>
    </w:p>
    <w:p w:rsidR="00362027" w:rsidRDefault="00362027" w:rsidP="00362027"/>
    <w:p w:rsidR="00362027" w:rsidRPr="002A5623" w:rsidRDefault="00362027" w:rsidP="00362027">
      <w:pPr>
        <w:rPr>
          <w:i/>
        </w:rPr>
      </w:pPr>
      <w:r w:rsidRPr="002A5623">
        <w:rPr>
          <w:i/>
        </w:rPr>
        <w:t>Why men’s sheds work</w:t>
      </w:r>
    </w:p>
    <w:p w:rsidR="00362027" w:rsidRDefault="00362027" w:rsidP="00362027"/>
    <w:p w:rsidR="00362027" w:rsidRDefault="00362027" w:rsidP="00362027">
      <w:r>
        <w:t>Macdonald, Brown &amp; Gethin (2009) note the tendency to falsely regard ‘masculine deficiency’ as the explanation why some men don’t use services. They note that while men’s sheds may not be necessary for today’s young men as they age, the current generation of men from earlier eras and well as many men from Indigenous and migrant backgrounds who are ‘the issue now and for coming decades’ (p.30) often play gender roles and exhibit ‘masculine identities shaped by history, culture and dominant models of masculinity’ (p.27). These identities which include placing a ‘very high value on independence, managing themselves, competence, privacy and not asking for help – unless essential’ (Macdonald, Brown &amp; Gethin, 200, p.29) make such men much less likely to present for a wide range of conventional services even when in crisis.</w:t>
      </w:r>
    </w:p>
    <w:p w:rsidR="00362027" w:rsidRDefault="00362027" w:rsidP="00362027"/>
    <w:p w:rsidR="00362027" w:rsidRDefault="00362027" w:rsidP="00362027">
      <w:r>
        <w:t>While men’s sheds have been important and culturally iconic for men in Australia much earlier, the first men’s shed in a community men’s sheds organisation started in Australia as recently as the mid 1990s. While backyard, house and garden sheds have been important for individual men, and shed-type places in workplaces, gardens and farms have been acknowledged in many nations as places in which much hands-on, workshop activity takes place, the term ‘shed’ had also been used for many decades to describe some important community places in Australia in which men have traditionally gathered. These include the fire brigade shed, the football and rugby sheds. Many nations have community organisations dedicated to keeping men’s trade skills, traditions, tools and engines alive such as in mining, agriculture and forestry. Hands on activities and skills have been practiced and passed down from father to son in sheds. Woodcrafts have been traditional men’s pursuits in most traditional cultures and in several cultures such as New Guinea men’s ‘houses’ formed an important part of religion and ritual.</w:t>
      </w:r>
    </w:p>
    <w:p w:rsidR="00362027" w:rsidRDefault="00362027" w:rsidP="00362027"/>
    <w:p w:rsidR="00362027" w:rsidRDefault="00362027" w:rsidP="00362027">
      <w:r>
        <w:t xml:space="preserve">The global growth and influence of feminism from the 1960s has led to many men’s places and spaces being seen as anachronistic, unnecessary and unhelpful to gender equality generally, and to women’s equal participation in all aspects of society in particular. Most male only community organisations and workplaces in developed nations have since been ‘opened up’ to women. These changes have met resistance in traditional and Indigenous cultures as well as by older men socialised and educated in a pre-feminist era. In some ways men’s sheds organisations in the Western nations in which they have recently been established have something to do with </w:t>
      </w:r>
      <w:r w:rsidRPr="00C559CA">
        <w:rPr>
          <w:i/>
        </w:rPr>
        <w:t>some</w:t>
      </w:r>
      <w:r>
        <w:t xml:space="preserve"> men ‘answering back’ that </w:t>
      </w:r>
      <w:r w:rsidRPr="00C559CA">
        <w:rPr>
          <w:i/>
        </w:rPr>
        <w:t>some</w:t>
      </w:r>
      <w:r>
        <w:t xml:space="preserve"> places for men are not necessarily outdated, and indeed that for some men, families and communities they can be necessary and helpful. While men’s sheds are not attractive or necessary for all men, they have proved to be extremely positive for most men who participate, with positive flow-on effects for women, families and communities.</w:t>
      </w:r>
    </w:p>
    <w:p w:rsidR="00362027" w:rsidRDefault="00362027" w:rsidP="00362027"/>
    <w:p w:rsidR="00362027" w:rsidRPr="00014637" w:rsidRDefault="00362027" w:rsidP="00362027">
      <w:pPr>
        <w:rPr>
          <w:i/>
        </w:rPr>
      </w:pPr>
      <w:r w:rsidRPr="00014637">
        <w:rPr>
          <w:i/>
        </w:rPr>
        <w:t>What are men’s sheds in community settings</w:t>
      </w:r>
      <w:r>
        <w:rPr>
          <w:i/>
        </w:rPr>
        <w:t>?</w:t>
      </w:r>
    </w:p>
    <w:p w:rsidR="00362027" w:rsidRDefault="00362027" w:rsidP="00362027"/>
    <w:p w:rsidR="00362027" w:rsidRDefault="00362027" w:rsidP="00362027">
      <w:r>
        <w:t>The men’s movement is comprised of a loose association of shed-based community organisations, mainly for and by men. It has very quickly become the largest community association in Australia, Ireland and New Zealand focussed on the needs, interests health and wellbeing of men. Men’s sheds provide a safe, regular, social space for informal voluntary activity and programs with very diverse possibilities and outcomes matching the men and communities in which they are embedded. Unlike personal sheds, they are available to groups of men, organised independently or with auspice arrangements through a wide variety of other community organisations (including learning and health organisations). The activity usually (but not always) takes place in a group workshop-type space with tools and equipment in a public, shed-type setting. Because of these diverse settings sheds are also as diverse as the men and communities they involve and spring from.</w:t>
      </w:r>
    </w:p>
    <w:p w:rsidR="00362027" w:rsidRDefault="00362027" w:rsidP="00362027"/>
    <w:p w:rsidR="00362027" w:rsidRDefault="00362027" w:rsidP="00362027">
      <w:r>
        <w:t xml:space="preserve">There are some important basics. Shed work because the men involved typically actively participate, </w:t>
      </w:r>
      <w:r w:rsidRPr="00A61DB3">
        <w:rPr>
          <w:i/>
        </w:rPr>
        <w:t>belong</w:t>
      </w:r>
      <w:r>
        <w:t xml:space="preserve"> to and identify with the shed.  Men enjoy and benefit form gathering socially, regularly, voluntarily, happily and safety to do hands-on ‘stuff’ together. What that ‘stuff’ is, is less important than the principles embedded in the men’s shed concept. It works best when it’s grassroots, local, by for and about the local men. It is more about men helping each other and the community than men helping themselves or being ‘serviced’. ‘Shedders’, as they call themselves, are active and equal participants in the activity. The irony is that by not naming the activity provides freedom and agency to talk informally, ‘shoulder to shoulder’ to talk about other important thing going on in their lives that would not otherwise be shared.</w:t>
      </w:r>
    </w:p>
    <w:p w:rsidR="00362027" w:rsidRDefault="00362027" w:rsidP="00362027"/>
    <w:p w:rsidR="00362027" w:rsidRDefault="00362027" w:rsidP="00362027">
      <w:r>
        <w:t xml:space="preserve">Beyond the diversity, Golding (2012, p.129) has identified the key common attributes of men’s sheds. They tend not to patronise participants as clients, customers or patients. They do not describe the activity or the participants in the shed (other than being men). They provide places for men to exercise agency over the shed activity as well as over their lives beyond work. They are radical in that they promote holistic learning in communities of practice (without the need for teachers, curriculum, teaching and assessment and health (without health workers). They are safe, health and wellbeing-promoting spaces deliberately inclusive of </w:t>
      </w:r>
      <w:r w:rsidRPr="00014637">
        <w:rPr>
          <w:i/>
        </w:rPr>
        <w:t>all</w:t>
      </w:r>
      <w:r>
        <w:t xml:space="preserve"> men. Importantly and interestingly, they are successful because neither learning nor health is formalised or fore grounded in the name of the organisation. They are achieved precisely because they are approached informally.</w:t>
      </w:r>
    </w:p>
    <w:p w:rsidR="00362027" w:rsidRDefault="00362027" w:rsidP="00362027"/>
    <w:p w:rsidR="00362027" w:rsidRDefault="00362027" w:rsidP="00362027">
      <w:r>
        <w:t xml:space="preserve">From individual origins in several southern Australian states, men’s sheds organisations have grown from around ten sheds (all in Australia) in 2002 to over 1,000 in five nations a decade later. It is now an international movement with national associations in 2013 in Australia, Ireland, New Zealand and Wales. Aside from the phenomenal numeric growth, several things are of interest here. </w:t>
      </w:r>
    </w:p>
    <w:p w:rsidR="00362027" w:rsidRDefault="00362027" w:rsidP="00362027"/>
    <w:p w:rsidR="00362027" w:rsidRPr="00515235" w:rsidRDefault="00362027" w:rsidP="00362027">
      <w:pPr>
        <w:rPr>
          <w:b/>
        </w:rPr>
      </w:pPr>
      <w:r w:rsidRPr="00515235">
        <w:rPr>
          <w:b/>
        </w:rPr>
        <w:t>The research literature in men’s sheds</w:t>
      </w:r>
    </w:p>
    <w:p w:rsidR="00362027" w:rsidRDefault="00362027" w:rsidP="00362027"/>
    <w:p w:rsidR="00362027" w:rsidRDefault="00362027" w:rsidP="00362027">
      <w:r>
        <w:t xml:space="preserve">While there is a similar model underpinning men’s sheds, they have an ability to adapt to a very wide range of purposes, men, communities and scales. Because there are similarly diverse ways of analysing and making sense of them community sheds can be seen as something of a chameleon. The underlying commonalities are that they for all men, they are low on hierarchy and formality, but high on agency and community engagement. While sheds can and should make all men feel empowered and included in the community and ‘at home’ in the shed, all sheds are different. </w:t>
      </w:r>
    </w:p>
    <w:p w:rsidR="00362027" w:rsidRDefault="00362027" w:rsidP="00362027"/>
    <w:p w:rsidR="00362027" w:rsidRDefault="00362027" w:rsidP="00362027">
      <w:r>
        <w:t xml:space="preserve">Researchers looking at and making sense of men’s sheds will therefore see something different not only according to where they look but particularly though which theoretical lens. For example an adult learning professional, academic or organisation a shed will tend to see a sharing of skills and learning. Similarly, a health worker might emphasize health, a psychologist a site for changing behaviour, a gerontologist for retirement and ageing, an occupational therapist for therapeutic activity, a sociologist a place to get ‘out of the house’, a community service professional a site for community engagement and connection, and a drug and alcohol worker for intervention. </w:t>
      </w:r>
    </w:p>
    <w:p w:rsidR="00362027" w:rsidRDefault="00362027" w:rsidP="00362027"/>
    <w:p w:rsidR="00362027" w:rsidRDefault="00362027" w:rsidP="00362027">
      <w:r>
        <w:t>Men’s shed practice reinforces the obvious, sometimes lost with the imposition of service and academic ‘silos’ on the complexity of people’s lives, in this case that men’s lives (and needs) beyond work, as well as men’s sheds, are complex and diverse and do not fit neatly into one neat box. What sheds paradoxically demonstrate in the context of this book, is that learning and wellbeing sometimes work very well for some men when they are interconnected, not named up front, and not provided in a typical individual, client-based, service delivery model.</w:t>
      </w:r>
    </w:p>
    <w:p w:rsidR="00362027" w:rsidRDefault="00362027" w:rsidP="00362027"/>
    <w:p w:rsidR="00362027" w:rsidRDefault="00362027" w:rsidP="00362027">
      <w:r>
        <w:t>Men’s sheds have another important attribute. Being ground up, they have tended to spring up and do best in locations where they are most needed. Sheds have done particularly well where the proportion of men not in the paid workforce is relatively high. This includes post-industrial suburban areas and retirement locations with high proportions of retired men from trade backgrounds; rural and regional areas where men have moved to town; areas hit by crisis and change, after fire and flood in Australia for example, after earthquakes around Christchurch in New Zealand; areas of lower socio-economic status where local community action has identified a need, and very recently across Ireland where the proportion of men not in paid work includes many younger, unemployed men.</w:t>
      </w:r>
    </w:p>
    <w:p w:rsidR="00362027" w:rsidRDefault="00362027" w:rsidP="00362027"/>
    <w:p w:rsidR="00362027" w:rsidRDefault="00362027" w:rsidP="00362027">
      <w:r>
        <w:t xml:space="preserve">While it is important in principle (and enforced by equal opportunity legislation in many nations) that </w:t>
      </w:r>
      <w:r w:rsidRPr="00FD1300">
        <w:rPr>
          <w:i/>
        </w:rPr>
        <w:t>all</w:t>
      </w:r>
      <w:r>
        <w:t xml:space="preserve"> men are welcome, in reality, as in many community organisations, some men’s sheds organisations inclusive of older men from conservative backgrounds need reminding about inclusivity: of Indigenous, gay and bisexual men as well as men from diverse religions, nations and cultures. While discrimination on the basis of race, religion and sexual preference in most organisations is illegal, so too is discrimination by gender. Men’s sheds justification of their mainly or ‘just men’ stance has been endorsed by the Australian Equal Opportunity Commission, using the argument that this configuration is consistent with interventions that improve men’s health and encourage social and community connection of men not in the workforce. This stance also has widespread support from partners, children and families of men involved, as well as women involved professionally in learning, health and welfare on the basis that many people (including women) benefit aside from the men themselves.</w:t>
      </w:r>
    </w:p>
    <w:p w:rsidR="00362027" w:rsidRDefault="00362027" w:rsidP="00362027"/>
    <w:p w:rsidR="00362027" w:rsidRDefault="00362027" w:rsidP="00362027">
      <w:r>
        <w:t>It is important here to acknowledge the important and active role of women in assisting the shed movement, aside from the fact that most men with female partners participate with their strong encouragement and support. Women have played major roles in developing and championing many sheds and supporting the national and state associations. Almost all media stories about sheds (and there have been many) have been written and researched by women. Women have been behind many shed start-ups and the procurement of funds. Some sheds have a very successful shed coordinator. That said, some shed organisation (and men) try and shift the work they see as ‘women’s roles’, including compliance, budgeting, accountability and food preparation onto women.</w:t>
      </w:r>
    </w:p>
    <w:p w:rsidR="00362027" w:rsidRDefault="00362027" w:rsidP="00362027"/>
    <w:p w:rsidR="00362027" w:rsidRDefault="00362027" w:rsidP="00362027">
      <w:r>
        <w:t>It is timely in the context of very rapid growth of the shed movement to anticipate that models that enhance men’s wellbeing such as men’s sheds will spring up in some (but not all) other national and cultural contexts in some new and existing sites, some of which will also be supported by national and state governments as part of national men’s health and wellbeing, productive ageing and lifelong learning policies. For some nations it might be that existing iconic and traditional locations for men to gather might be reinvented. As identified later in the six national chapters, men in most nations already tend to already gather and benefit in terms of learning and wellbeing through voluntary involvement in sporting, fire and emergency services organisations. In some nations such as Samoa, men’s participation was traditionally around the ‘kava bowl’, involving men’s ritualised group drinking of the mild intoxicant, kava. In Scandinavia, men tend to continue the tradition of gathering around fishing and hunting, that in some Nordic nations also extends to men’s saunas. In Portugal pigeon racing and fishing clubs have been important sites for men gathering. In the Maldives it tends to be the place near the beach where men fix their fishing nets. In many Mediterranean nations the custom has been for men to meet and drink coffee, a tradition that is followed by older migrant men in some Australian cities, which also goes on in the USA, as summarised by this recent, first hand account from the internet.</w:t>
      </w:r>
    </w:p>
    <w:p w:rsidR="00362027" w:rsidRPr="00005D2B" w:rsidRDefault="00362027" w:rsidP="00362027">
      <w:pPr>
        <w:ind w:left="567"/>
        <w:rPr>
          <w:sz w:val="22"/>
        </w:rPr>
      </w:pPr>
      <w:r w:rsidRPr="00005D2B">
        <w:rPr>
          <w:sz w:val="22"/>
        </w:rPr>
        <w:t>You know the guys who sit around and talk shit all morning in a designated location, while drinking coffee? If you go to a gas station or a diner that opens early enough in the morning you've probably seen them.</w:t>
      </w:r>
      <w:r>
        <w:rPr>
          <w:sz w:val="22"/>
        </w:rPr>
        <w:t xml:space="preserve"> ..</w:t>
      </w:r>
      <w:r w:rsidRPr="00005D2B">
        <w:rPr>
          <w:sz w:val="22"/>
        </w:rPr>
        <w:t>. about 4-5 grizzled old guys that just hang out there all morning. There's no designated meeting time - it's sort of an unspoken thing that everyone just shows up around the same time, like they drive by looking for each other's cars in the parking lot.</w:t>
      </w:r>
    </w:p>
    <w:p w:rsidR="00362027" w:rsidRDefault="00362027" w:rsidP="00362027"/>
    <w:p w:rsidR="00362027" w:rsidRDefault="00362027" w:rsidP="00362027">
      <w:r>
        <w:t>The idea of men ‘talking shit’ and ‘playing’ in sheds is not unimportant as a starting point to deeper and more meaningful conversations and shared activities. Tse (2005) extracted three main themes through research into older people’s needs for activity and companionship through adult day activity groups in Australia. The importance of companionship, including being and talking with others was one of the themes, as was keeping occupied and getting out of the house. Other research confirms the importance also to women of having places, spaces and conversation to ‘natter’ (chinwag: Britain; craic: Ireland). T</w:t>
      </w:r>
      <w:r w:rsidRPr="002745D0">
        <w:t>alk</w:t>
      </w:r>
      <w:r>
        <w:t>ing</w:t>
      </w:r>
      <w:r w:rsidRPr="002745D0">
        <w:t xml:space="preserve"> socially without exchanging too much information</w:t>
      </w:r>
      <w:r>
        <w:t xml:space="preserve"> is an important way of people making contact, an activity that now extends to internet enhanced conversations on the internet including for men, in ‘virtual sheds’ (ShedOnLine, 2013).</w:t>
      </w:r>
    </w:p>
    <w:p w:rsidR="00362027" w:rsidRDefault="00362027" w:rsidP="00362027"/>
    <w:p w:rsidR="00362027" w:rsidRPr="003C3610" w:rsidRDefault="00362027" w:rsidP="00362027">
      <w:pPr>
        <w:rPr>
          <w:i/>
        </w:rPr>
      </w:pPr>
      <w:r w:rsidRPr="003C3610">
        <w:rPr>
          <w:i/>
        </w:rPr>
        <w:t>Men’s sheds and learning</w:t>
      </w:r>
    </w:p>
    <w:p w:rsidR="00362027" w:rsidRDefault="00362027" w:rsidP="00362027"/>
    <w:p w:rsidR="00362027" w:rsidRDefault="00362027" w:rsidP="00362027">
      <w:r>
        <w:t xml:space="preserve">Golding et al.’s (XXX) extensive suite of research tends to analyse men’s sheds from a learning and wellbeing ontological perspective. Because this book is fundamentally about men’s learning and wellbeing and authored mainly by learning-oriented researchers, the main emphasis in the rest of this chapter is about learning. </w:t>
      </w:r>
    </w:p>
    <w:p w:rsidR="00362027" w:rsidRDefault="00362027" w:rsidP="00362027">
      <w:r>
        <w:t>What is learned in men’s sheds, often from and by previously poorly connected men, is far from unimportant. Men learn hands on skills through practical, productive activity. They learn the positive value of leisure activity and friendships with other men health. They gain new insights into the importance and ways to enhance fitness, relationships, healthy eating, identities as men and emotional wellbeing. In the context of considerable life changes, men learn to cope with changes associated with not being in paid work, ageing, disability and retirement. Most importantly, men develop share and enjoy lives and new identities in a third place beyond paid work and home bestowed through and by association with the shed.</w:t>
      </w:r>
    </w:p>
    <w:p w:rsidR="00362027" w:rsidRDefault="00362027" w:rsidP="00362027"/>
    <w:p w:rsidR="00362027" w:rsidRDefault="00362027" w:rsidP="00362027">
      <w:r>
        <w:t>The learning works through men’s sheds largely because the pedagogies positively accommodate particular groups of men of all ages with a sometimes long-standing aversion to formal education and top down service provision. As Cully (2004, p.XXXCHECK) notes, in Australia ‘the formal VET system remains strongly biased towards provision of training for people aged 15 to 25’. Unlike U3A, that tends to provide programs for already committed learners (Neilsen, 2003, p.56), and OM:NI  (Older Men New Ideas) that is based around men sharing stories, in supportive men-only contexts, men’s sheds were recognised as early as 2004 by Morrison (2004) as providing something quite different for men. Morrison particularly picked out men whose ‘identity and culture have been shaped in the unique and highly gendered experiences of war and post-war Australia’ (p.2) and accurately predicted their capacity of ‘multiplying across Australia’ (p.5). They encourage mentoring and sharing of leisure, trade, craft, health and safety skills, teaching men that they have something to give back to other men and the community at any age. The absence of training, teachers and assessment match the specific informal learning needs of the men who participate in sheds, making them feel at home, valued and valuable. Men learn through communities of practice in a way that does not involve ‘shame’ associated with failure. Men’s sheds develop and share what they know rather than emphasising what men cannot do or don’t know. The focus is on the needs of men as equal and joint participants in the activity, using and expanding on the (sometimes limited) formal literacies, skills and interests they do have. Men’s sheds provide positive role models for other men. In some cases where young people including school resisters are involved in shed activity, men provide critically important mentoring.</w:t>
      </w:r>
    </w:p>
    <w:p w:rsidR="00362027" w:rsidRDefault="00362027" w:rsidP="00362027"/>
    <w:p w:rsidR="00362027" w:rsidRDefault="00362027" w:rsidP="00362027">
      <w:r>
        <w:t>In the process men of any age learn many new things, without ‘enrolling’ in any ‘course’. Some men learn how to break social, family or work isolation and depression that can often be associated with it. For men at home with a partner for the rest of the week, sheds can relieve ‘underfoot syndrome’ for both parties. This phenomena has been described also in Japan (Faiola, 2005). From a workplace and skills perspective sheds are very much about transition to ‘a third place’ (aside from work and home, see earlier Chapter) during the third age and well into the fourth age postulated by Soulsby (2000). From a productive ageing perspective, men’s sheds also tick most boxes for many older men. Where and how the learning takes place is also important. Hands-on learning is typically enjoyable where the tasks are real with obvious, practical and transferable benefits. For some men, working with an open door outside, or with views to the outside is also important.</w:t>
      </w:r>
    </w:p>
    <w:p w:rsidR="00362027" w:rsidRDefault="00362027" w:rsidP="00362027"/>
    <w:p w:rsidR="00362027" w:rsidRDefault="00362027" w:rsidP="00362027">
      <w:r>
        <w:t xml:space="preserve">Men’s sheds and the learning associated with participation for the types of men who participate in them can be perhaps be best understood from a sociological perspective in terms of cohort experiences (McNair, 2009). While much research and government policy effort goes into postulated smooth transitions for young people through education and training to adulthood and work, ‘the current pattern is of a much more complex and unpredictable phase of life, for young people entering it, as for older people leaving it’ (McNair, 2009, p.38). As McNair (2009, p.38) presciently stressed in 2009 as the Global Financial Crisis was continuing to unfold in the UK, ‘Qualifications do not provide protection against this turbulence, although social class and networks do.’ </w:t>
      </w:r>
    </w:p>
    <w:p w:rsidR="00362027" w:rsidRDefault="00362027" w:rsidP="00362027"/>
    <w:p w:rsidR="00362027" w:rsidRDefault="00362027" w:rsidP="00362027">
      <w:r>
        <w:t xml:space="preserve">Learning, as McNair (2009, p.41) stresses, has three broad purposes in relation to three forms of capital; identity, human and social. It helps people ‘to find meaning in their lives; to support themselves and their dependents; to engage in a wider society; and to manage and adapt to change’ (p.41). Each of these purposes are arguably achieved through men’s sheds, driven by a more mobile male population subject to new circumstances, less predictable labour market entry and exit, a much longer third age in healthy and active retirement and a longer fourth age living in some kind of dependency. (McNair 2009, p.51). In the bigger picture and using Sen’s (1980) capability framework, men’s sheds accommodate for </w:t>
      </w:r>
      <w:r w:rsidRPr="008130DB">
        <w:rPr>
          <w:i/>
        </w:rPr>
        <w:t>affiliation</w:t>
      </w:r>
      <w:r>
        <w:t xml:space="preserve"> with other men; </w:t>
      </w:r>
      <w:r w:rsidRPr="008130DB">
        <w:rPr>
          <w:i/>
        </w:rPr>
        <w:t>play</w:t>
      </w:r>
      <w:r>
        <w:t xml:space="preserve">, through working enjoyably ‘shoulder to shoulder’; </w:t>
      </w:r>
      <w:r w:rsidRPr="008130DB">
        <w:rPr>
          <w:i/>
        </w:rPr>
        <w:t>bodily health</w:t>
      </w:r>
      <w:r>
        <w:t xml:space="preserve"> (Golding, 2011), as well as </w:t>
      </w:r>
      <w:r w:rsidRPr="008130DB">
        <w:rPr>
          <w:i/>
        </w:rPr>
        <w:t>senses, imagination and thought</w:t>
      </w:r>
      <w:r>
        <w:t>.</w:t>
      </w:r>
    </w:p>
    <w:p w:rsidR="00362027" w:rsidRDefault="00362027" w:rsidP="00362027"/>
    <w:p w:rsidR="00362027" w:rsidRPr="00773271" w:rsidRDefault="00362027" w:rsidP="00362027">
      <w:pPr>
        <w:rPr>
          <w:i/>
        </w:rPr>
      </w:pPr>
      <w:r w:rsidRPr="00773271">
        <w:rPr>
          <w:i/>
        </w:rPr>
        <w:t>Summary</w:t>
      </w:r>
    </w:p>
    <w:p w:rsidR="00362027" w:rsidRDefault="00362027" w:rsidP="00362027"/>
    <w:p w:rsidR="00362027" w:rsidRDefault="00362027" w:rsidP="00362027">
      <w:r>
        <w:t>In essence, the ‘grassroots’ shed model and movement positively challenges preconceptions about men’s agency and learning in community settings. This analysis of the movement confirms the ability of diverse men, particularly those beyond the paid workforce, to take responsibility for several of the key social determinants of health, including their learning and wellbeing. They are also flexible and diverse as a bottom up, ‘grassroots’ movement to work in very diverse cultural and community contexts, and informally connect otherwise very disconnected men (unemployed, retired, with a disability, withdrawn from the paid workforce) to a range of services without probematising and patronising men.</w:t>
      </w:r>
    </w:p>
    <w:p w:rsidR="00362027" w:rsidRDefault="00362027" w:rsidP="00362027"/>
    <w:p w:rsidR="00362027" w:rsidRDefault="00362027" w:rsidP="00362027">
      <w:r>
        <w:t xml:space="preserve">This includes some men with ambivalence and significant negativity towards learning. On one hand sheds are conservative in that they reinforce and celebrate some traditional ways of being a men doing things together ‘shoulder to shoulder’. On the other hand they are radical in that they are based on models of community involvement that are democratic and inclusive, which eschew negative and hegemonic masculinities, are respectful of women by encouraging of salutogenic (health promoting) behaviour and encourage learner autonomy. This final condition is consistent with meta-analyses into research across all forms learning (Black, McCormick, James &amp; Pedder (2006) that an </w:t>
      </w:r>
    </w:p>
    <w:p w:rsidR="00362027" w:rsidRPr="00BF74A7" w:rsidRDefault="00362027" w:rsidP="00362027">
      <w:pPr>
        <w:ind w:left="567"/>
        <w:rPr>
          <w:sz w:val="22"/>
        </w:rPr>
      </w:pPr>
      <w:r w:rsidRPr="00BF74A7">
        <w:rPr>
          <w:sz w:val="22"/>
        </w:rPr>
        <w:t>…emphasis should be placed on practices, in both individual and collaborative contexts that seem to have the potential to promote … autonomy in learning. This would seem to be the most secure foundation for lifelong learning</w:t>
      </w:r>
    </w:p>
    <w:p w:rsidR="00362027" w:rsidRDefault="00362027" w:rsidP="00362027"/>
    <w:p w:rsidR="00362027" w:rsidRDefault="00362027" w:rsidP="00362027"/>
    <w:p w:rsidR="00362027" w:rsidRPr="00DE2BC5" w:rsidRDefault="00362027" w:rsidP="00362027">
      <w:pPr>
        <w:rPr>
          <w:b/>
        </w:rPr>
      </w:pPr>
      <w:r w:rsidRPr="00DE2BC5">
        <w:rPr>
          <w:b/>
        </w:rPr>
        <w:t>References</w:t>
      </w:r>
    </w:p>
    <w:p w:rsidR="00362027" w:rsidRDefault="00362027" w:rsidP="00362027"/>
    <w:p w:rsidR="00362027" w:rsidRDefault="00362027" w:rsidP="00362027">
      <w:pPr>
        <w:ind w:left="567" w:hanging="567"/>
      </w:pPr>
      <w:r>
        <w:t>ABS Australian Bureau of Statistics (2010</w:t>
      </w:r>
      <w:r w:rsidRPr="00D047FE">
        <w:rPr>
          <w:i/>
        </w:rPr>
        <w:t>) Australian social trends September 2010: Older people and the labour market</w:t>
      </w:r>
      <w:r>
        <w:t>, Cat. No. 4102.0. Canberra: ABS.</w:t>
      </w:r>
    </w:p>
    <w:p w:rsidR="00362027" w:rsidRDefault="00362027" w:rsidP="00362027">
      <w:pPr>
        <w:ind w:left="567" w:hanging="567"/>
      </w:pPr>
      <w:r>
        <w:t xml:space="preserve">Black, P., McCormick, R., James, M. &amp; Pedder, D. (2006) Learning how to learn and assessment for learning: A theoretical inquiry. </w:t>
      </w:r>
      <w:r w:rsidRPr="00BF74A7">
        <w:rPr>
          <w:i/>
        </w:rPr>
        <w:t>Research Papers in Education</w:t>
      </w:r>
      <w:r>
        <w:t xml:space="preserve"> 21(2), pp 119-132.</w:t>
      </w:r>
    </w:p>
    <w:p w:rsidR="00362027" w:rsidRDefault="00362027" w:rsidP="00362027">
      <w:pPr>
        <w:ind w:left="567" w:hanging="567"/>
      </w:pPr>
      <w:r>
        <w:t xml:space="preserve">Blundell, R., Dearden, C., Meghir, XX &amp; Sianesi, B. (1999) Human capital investment: The returns from education and training to the individual, the firm and the economy. </w:t>
      </w:r>
      <w:r w:rsidRPr="002C6EEE">
        <w:rPr>
          <w:i/>
        </w:rPr>
        <w:t>Fiscal Studies</w:t>
      </w:r>
      <w:r>
        <w:t xml:space="preserve"> 20, 1-23.</w:t>
      </w:r>
    </w:p>
    <w:p w:rsidR="00362027" w:rsidRDefault="00362027" w:rsidP="00362027">
      <w:pPr>
        <w:ind w:left="567" w:hanging="567"/>
      </w:pPr>
      <w:r>
        <w:t xml:space="preserve">Brune, K. (2011) Culture change in long term care services: Eden-greenhouse-aging in the community, </w:t>
      </w:r>
      <w:r w:rsidRPr="00985F5F">
        <w:rPr>
          <w:i/>
        </w:rPr>
        <w:t>Educational Gerontology</w:t>
      </w:r>
      <w:r>
        <w:t xml:space="preserve"> 37(6): 506-525.</w:t>
      </w:r>
    </w:p>
    <w:p w:rsidR="00362027" w:rsidRDefault="00362027" w:rsidP="00362027">
      <w:pPr>
        <w:ind w:left="567" w:hanging="567"/>
      </w:pPr>
      <w:r>
        <w:t xml:space="preserve">Carlton, S. &amp; Soulsby, J. (1999) </w:t>
      </w:r>
      <w:r>
        <w:rPr>
          <w:i/>
        </w:rPr>
        <w:t>Learning to grow older and bo</w:t>
      </w:r>
      <w:r w:rsidRPr="00384585">
        <w:rPr>
          <w:i/>
        </w:rPr>
        <w:t>lder</w:t>
      </w:r>
      <w:r>
        <w:t>, NIACE Policy Discussion Paper. Leicester: NIACE.</w:t>
      </w:r>
    </w:p>
    <w:p w:rsidR="00362027" w:rsidRDefault="00362027" w:rsidP="00362027">
      <w:pPr>
        <w:ind w:left="567" w:hanging="567"/>
      </w:pPr>
      <w:r w:rsidRPr="00D047FE">
        <w:t>Cully, M</w:t>
      </w:r>
      <w:r>
        <w:t>.</w:t>
      </w:r>
      <w:r w:rsidRPr="00D047FE">
        <w:t xml:space="preserve"> (2004) Older Workers</w:t>
      </w:r>
      <w:r w:rsidR="00E22FAC">
        <w:t>, in K. Bowman (ed.),</w:t>
      </w:r>
      <w:r>
        <w:t xml:space="preserve"> </w:t>
      </w:r>
      <w:r w:rsidRPr="00D047FE">
        <w:rPr>
          <w:i/>
        </w:rPr>
        <w:t>Equity in vocational education and training: Research readings</w:t>
      </w:r>
      <w:r>
        <w:t>.</w:t>
      </w:r>
      <w:r w:rsidRPr="00D047FE">
        <w:t xml:space="preserve"> Adelaide</w:t>
      </w:r>
      <w:r>
        <w:t xml:space="preserve">: NCVER, </w:t>
      </w:r>
      <w:r w:rsidRPr="00D047FE">
        <w:t>p</w:t>
      </w:r>
      <w:r>
        <w:t>p.</w:t>
      </w:r>
      <w:r w:rsidR="00E22FAC">
        <w:t>204-226.</w:t>
      </w:r>
    </w:p>
    <w:p w:rsidR="000B5760" w:rsidRDefault="00362027" w:rsidP="00362027">
      <w:pPr>
        <w:ind w:left="567" w:hanging="567"/>
      </w:pPr>
      <w:r>
        <w:t xml:space="preserve">Carragher, L. (2013) </w:t>
      </w:r>
      <w:r w:rsidRPr="00985F5F">
        <w:rPr>
          <w:i/>
        </w:rPr>
        <w:t>Men’s sheds in Ireland: Learning through community contexts</w:t>
      </w:r>
      <w:r w:rsidR="002971AE">
        <w:t xml:space="preserve">. Dundalk: </w:t>
      </w:r>
      <w:r>
        <w:t>Dundalk Institute of Technology.</w:t>
      </w:r>
    </w:p>
    <w:p w:rsidR="000B5760" w:rsidRDefault="000B5760" w:rsidP="000B5760">
      <w:pPr>
        <w:ind w:left="567" w:hanging="567"/>
      </w:pPr>
      <w:r>
        <w:t>Coombs, P. &amp; Ahmed, M. (1974</w:t>
      </w:r>
      <w:r w:rsidRPr="000B5760">
        <w:rPr>
          <w:i/>
        </w:rPr>
        <w:t>) Attacking rural poverty: How nonformal education can help</w:t>
      </w:r>
      <w:r w:rsidRPr="000B5760">
        <w:t xml:space="preserve">, </w:t>
      </w:r>
      <w:r>
        <w:t xml:space="preserve">B. Israel (ed.) </w:t>
      </w:r>
      <w:r w:rsidRPr="000B5760">
        <w:t>A rese</w:t>
      </w:r>
      <w:r>
        <w:t>arch report for the World Bank, International Council for Educational Development, World Bank. Baltimore: Johns Hopkins University Press.</w:t>
      </w:r>
    </w:p>
    <w:p w:rsidR="00362027" w:rsidRDefault="00362027" w:rsidP="00362027">
      <w:pPr>
        <w:ind w:left="567" w:hanging="567"/>
      </w:pPr>
      <w:r>
        <w:t xml:space="preserve">Earle, L. (1996) </w:t>
      </w:r>
      <w:r w:rsidRPr="00D047FE">
        <w:rPr>
          <w:i/>
        </w:rPr>
        <w:t>Successful ageing in Australian society: A community development challenge</w:t>
      </w:r>
      <w:r>
        <w:t>. Adelaide: Recreation for Older Adults Inc.</w:t>
      </w:r>
    </w:p>
    <w:p w:rsidR="00362027" w:rsidRDefault="00362027" w:rsidP="00362027">
      <w:pPr>
        <w:ind w:left="567" w:hanging="567"/>
      </w:pPr>
      <w:r>
        <w:t xml:space="preserve">Eden Alternative (2009) The Eden alternative: Improving the lives of elders and their care partners, Accessed 21 March 2013 from </w:t>
      </w:r>
      <w:hyperlink r:id="rId9" w:history="1">
        <w:r w:rsidRPr="00EF00B6">
          <w:rPr>
            <w:rStyle w:val="Hyperlink"/>
          </w:rPr>
          <w:t>www.edenalt.org</w:t>
        </w:r>
      </w:hyperlink>
      <w:r>
        <w:t xml:space="preserve">. </w:t>
      </w:r>
    </w:p>
    <w:p w:rsidR="00362027" w:rsidRDefault="00362027" w:rsidP="00362027">
      <w:pPr>
        <w:ind w:left="567" w:hanging="567"/>
      </w:pPr>
      <w:r>
        <w:t xml:space="preserve">Englebrecht, C. &amp; Skladzien, E. (2010) </w:t>
      </w:r>
      <w:r w:rsidRPr="005E3985">
        <w:rPr>
          <w:i/>
        </w:rPr>
        <w:t>Later life learning: Unlocking the potential for productive ageing</w:t>
      </w:r>
      <w:r>
        <w:t>. Canberra: National Seniors Australia Productive Ageing Centre.</w:t>
      </w:r>
    </w:p>
    <w:p w:rsidR="00362027" w:rsidRDefault="00362027" w:rsidP="00362027">
      <w:pPr>
        <w:ind w:left="567" w:hanging="567"/>
      </w:pPr>
      <w:r>
        <w:t xml:space="preserve">EU (2012) </w:t>
      </w:r>
      <w:r w:rsidRPr="009A2751">
        <w:rPr>
          <w:i/>
        </w:rPr>
        <w:t>European Year for Active Ageing and Solidarity between Generations 2012: Everyone has a role to play</w:t>
      </w:r>
      <w:r>
        <w:t>. Brussels: AGE Platform Europe.</w:t>
      </w:r>
    </w:p>
    <w:p w:rsidR="00362027" w:rsidRDefault="00362027" w:rsidP="00362027">
      <w:pPr>
        <w:ind w:left="567" w:hanging="567"/>
      </w:pPr>
      <w:r>
        <w:t xml:space="preserve">Faiola, A. (2005) a painful homecoming,  </w:t>
      </w:r>
      <w:r w:rsidRPr="005639AD">
        <w:rPr>
          <w:i/>
        </w:rPr>
        <w:t>The Age</w:t>
      </w:r>
      <w:r>
        <w:t xml:space="preserve">, Review, October 29, p.4 (originally in the </w:t>
      </w:r>
      <w:r w:rsidRPr="005639AD">
        <w:rPr>
          <w:i/>
        </w:rPr>
        <w:t>Washington Post</w:t>
      </w:r>
      <w:r>
        <w:t>).</w:t>
      </w:r>
    </w:p>
    <w:p w:rsidR="00362027" w:rsidRDefault="00362027" w:rsidP="00362027">
      <w:pPr>
        <w:ind w:left="567" w:hanging="567"/>
      </w:pPr>
      <w:r>
        <w:t xml:space="preserve">Golding, B. (2011) Older men’s wellbeing through community participation in Australia, </w:t>
      </w:r>
      <w:r w:rsidRPr="002706B7">
        <w:rPr>
          <w:i/>
        </w:rPr>
        <w:t>International Journal of Men’s Health</w:t>
      </w:r>
      <w:r>
        <w:t>, 10(1), pp.26-44.</w:t>
      </w:r>
    </w:p>
    <w:p w:rsidR="00362027" w:rsidRDefault="00362027" w:rsidP="00362027">
      <w:pPr>
        <w:ind w:left="567" w:hanging="567"/>
      </w:pPr>
      <w:r>
        <w:t xml:space="preserve">Golding, B. (2012) </w:t>
      </w:r>
      <w:r w:rsidR="00E22FAC" w:rsidRPr="00E22FAC">
        <w:t>Men’s sheds, commu</w:t>
      </w:r>
      <w:r w:rsidR="00E22FAC">
        <w:t>nity learning and public policy</w:t>
      </w:r>
      <w:r w:rsidR="00E22FAC" w:rsidRPr="00E22FAC">
        <w:t xml:space="preserve">, Chapter 10 in </w:t>
      </w:r>
      <w:r w:rsidR="00E22FAC">
        <w:t>M. Bowl</w:t>
      </w:r>
      <w:r w:rsidR="00E22FAC" w:rsidRPr="00E22FAC">
        <w:t xml:space="preserve">, </w:t>
      </w:r>
      <w:r w:rsidR="00E22FAC">
        <w:t>R. Tobias</w:t>
      </w:r>
      <w:r w:rsidR="00E22FAC" w:rsidRPr="00E22FAC">
        <w:t xml:space="preserve">, </w:t>
      </w:r>
      <w:r w:rsidR="00E22FAC">
        <w:t>J. Leahy</w:t>
      </w:r>
      <w:r w:rsidR="00E22FAC" w:rsidRPr="00E22FAC">
        <w:t>,</w:t>
      </w:r>
      <w:r w:rsidR="00E22FAC">
        <w:t xml:space="preserve"> G. Ferguson, </w:t>
      </w:r>
      <w:r w:rsidR="00E22FAC" w:rsidRPr="00E22FAC">
        <w:t xml:space="preserve">&amp; </w:t>
      </w:r>
      <w:r w:rsidR="00E22FAC">
        <w:t xml:space="preserve">J. Gage, (eds.), </w:t>
      </w:r>
      <w:r w:rsidR="00E22FAC" w:rsidRPr="00E22FAC">
        <w:rPr>
          <w:i/>
        </w:rPr>
        <w:t>Gender, masculinities and lifelong learning</w:t>
      </w:r>
      <w:r w:rsidR="00E22FAC">
        <w:t>. Routledge:</w:t>
      </w:r>
      <w:r w:rsidR="00E22FAC" w:rsidRPr="00E22FAC">
        <w:t xml:space="preserve"> Abingdon, pp.122-133.</w:t>
      </w:r>
    </w:p>
    <w:p w:rsidR="00DD50DA" w:rsidRDefault="00362027" w:rsidP="00DD50DA">
      <w:pPr>
        <w:ind w:left="567" w:hanging="567"/>
      </w:pPr>
      <w:r>
        <w:t>Hayes, R. &amp; Williamson, M. (2007</w:t>
      </w:r>
      <w:r w:rsidRPr="00A948D8">
        <w:t>)</w:t>
      </w:r>
      <w:r w:rsidRPr="001F134A">
        <w:rPr>
          <w:i/>
        </w:rPr>
        <w:t xml:space="preserve"> Men’s sheds: Exploring the evidence base for best practice</w:t>
      </w:r>
      <w:r>
        <w:t>. Bundoora: La Trobe University.</w:t>
      </w:r>
    </w:p>
    <w:p w:rsidR="00362027" w:rsidRDefault="00DD50DA" w:rsidP="00DD50DA">
      <w:pPr>
        <w:ind w:left="567" w:hanging="567"/>
      </w:pPr>
      <w:r>
        <w:t xml:space="preserve">Kinsella-Taylor, L. (2001) </w:t>
      </w:r>
      <w:r w:rsidRPr="00EF1755">
        <w:rPr>
          <w:i/>
        </w:rPr>
        <w:t>Retirement in an era of ageing: The cost and impact of the early displacement of people from work</w:t>
      </w:r>
      <w:r>
        <w:t>. Mitcham: Australian Employers Convention.</w:t>
      </w:r>
    </w:p>
    <w:p w:rsidR="00362027" w:rsidRDefault="00362027" w:rsidP="00362027">
      <w:pPr>
        <w:ind w:left="567" w:hanging="567"/>
      </w:pPr>
      <w:r>
        <w:t xml:space="preserve">Lefebvre, P. &amp; Merrigan, P. (2003) Assessing family policy in Canada: A new deal for families and children. </w:t>
      </w:r>
      <w:r w:rsidRPr="002C6EEE">
        <w:rPr>
          <w:i/>
        </w:rPr>
        <w:t xml:space="preserve">Choices </w:t>
      </w:r>
      <w:r>
        <w:t>9.</w:t>
      </w:r>
    </w:p>
    <w:p w:rsidR="00362027" w:rsidRDefault="00362027" w:rsidP="00362027">
      <w:pPr>
        <w:ind w:left="567" w:hanging="567"/>
      </w:pPr>
      <w:r>
        <w:t xml:space="preserve">Macdonald, J., Brown, A. &amp; Gethin, A. (2009) </w:t>
      </w:r>
      <w:r w:rsidRPr="007E33A1">
        <w:rPr>
          <w:i/>
        </w:rPr>
        <w:t>Older men and home and community care services: Barriers to access and effective models of care</w:t>
      </w:r>
      <w:r>
        <w:t xml:space="preserve">. Sydney: Men’s Health Information and Resource Centre, University of Western Sydney. </w:t>
      </w:r>
    </w:p>
    <w:p w:rsidR="00362027" w:rsidRDefault="00362027" w:rsidP="00362027">
      <w:pPr>
        <w:ind w:left="567" w:hanging="567"/>
      </w:pPr>
      <w:r>
        <w:t xml:space="preserve">MacKean, R. (2009) </w:t>
      </w:r>
      <w:r w:rsidRPr="005E3985">
        <w:rPr>
          <w:i/>
        </w:rPr>
        <w:t>Ageing well: An inquiry into older people’s experiences of community-based learning</w:t>
      </w:r>
      <w:r>
        <w:t>, Unpublished Masters Thesis. Hobart: University of Tasmania.</w:t>
      </w:r>
    </w:p>
    <w:p w:rsidR="00362027" w:rsidRDefault="00362027" w:rsidP="00362027">
      <w:pPr>
        <w:ind w:left="567" w:hanging="567"/>
      </w:pPr>
      <w:r>
        <w:t xml:space="preserve">McNair, S. (2009) </w:t>
      </w:r>
      <w:r w:rsidRPr="00123156">
        <w:rPr>
          <w:i/>
        </w:rPr>
        <w:t>Demography and adult learning: A discussion Paper for the NIACE Commission of Inquiry</w:t>
      </w:r>
      <w:r>
        <w:t>. Leicester: NIACE.</w:t>
      </w:r>
    </w:p>
    <w:p w:rsidR="00362027" w:rsidRDefault="00362027" w:rsidP="00362027">
      <w:pPr>
        <w:ind w:left="567" w:hanging="567"/>
      </w:pPr>
      <w:r>
        <w:t xml:space="preserve">Misan, G., Haren, M. &amp; Ledo, V. (2008) </w:t>
      </w:r>
      <w:r w:rsidRPr="001F134A">
        <w:rPr>
          <w:i/>
        </w:rPr>
        <w:t>Men’s sheds: A strategy to improve men’s heal</w:t>
      </w:r>
      <w:r>
        <w:rPr>
          <w:i/>
        </w:rPr>
        <w:t>t</w:t>
      </w:r>
      <w:r w:rsidRPr="001F134A">
        <w:rPr>
          <w:i/>
        </w:rPr>
        <w:t>h</w:t>
      </w:r>
      <w:r>
        <w:t>. Parramatta: Mensheds Australia.</w:t>
      </w:r>
    </w:p>
    <w:p w:rsidR="00362027" w:rsidRDefault="00362027" w:rsidP="00362027">
      <w:pPr>
        <w:ind w:left="567" w:hanging="567"/>
      </w:pPr>
      <w:r>
        <w:t>Morrison, R. (2004) The wellbeing of older men, Submission No.189 to House of Representatives Standing Committee on Ageing, 31 March 2004.</w:t>
      </w:r>
    </w:p>
    <w:p w:rsidR="00362027" w:rsidRDefault="00362027" w:rsidP="00362027">
      <w:pPr>
        <w:ind w:left="567" w:hanging="567"/>
      </w:pPr>
      <w:r>
        <w:t xml:space="preserve">Myers, K. &amp; Miles, J. (2005) </w:t>
      </w:r>
      <w:r w:rsidRPr="002C6EEE">
        <w:rPr>
          <w:i/>
        </w:rPr>
        <w:t>Self-assessed returns to adult education: Life-long learning and the educationally disadvantaged</w:t>
      </w:r>
      <w:r>
        <w:t>, Research Network W35.</w:t>
      </w:r>
    </w:p>
    <w:p w:rsidR="00362027" w:rsidRDefault="00362027" w:rsidP="00362027">
      <w:pPr>
        <w:ind w:left="567" w:hanging="567"/>
      </w:pPr>
      <w:r>
        <w:t xml:space="preserve">Neilsen (2003) AC Neilsen Research, </w:t>
      </w:r>
      <w:r w:rsidRPr="00D30B64">
        <w:rPr>
          <w:i/>
        </w:rPr>
        <w:t>National evaluation of Adult Learners’ Week 2001 and 20002.</w:t>
      </w:r>
      <w:r>
        <w:t xml:space="preserve"> Adelaide: NCVER.</w:t>
      </w:r>
    </w:p>
    <w:p w:rsidR="00362027" w:rsidRDefault="00362027" w:rsidP="00362027">
      <w:pPr>
        <w:ind w:left="567" w:hanging="567"/>
      </w:pPr>
      <w:r>
        <w:t xml:space="preserve">Neogaf (2013) Indoctrinated by an old men’s coffee club </w:t>
      </w:r>
      <w:hyperlink r:id="rId10" w:history="1">
        <w:r w:rsidRPr="00C0474A">
          <w:rPr>
            <w:rStyle w:val="Hyperlink"/>
          </w:rPr>
          <w:t>http://www.neogaf.com/forum/showthread.php?t=381343</w:t>
        </w:r>
      </w:hyperlink>
      <w:r>
        <w:t xml:space="preserve"> Accessed Feb 21 2013.</w:t>
      </w:r>
    </w:p>
    <w:p w:rsidR="00362027" w:rsidRDefault="00362027" w:rsidP="00362027">
      <w:pPr>
        <w:ind w:left="567" w:hanging="567"/>
      </w:pPr>
      <w:r>
        <w:t xml:space="preserve">Noone, J (2012) </w:t>
      </w:r>
      <w:r w:rsidRPr="000B2082">
        <w:rPr>
          <w:i/>
        </w:rPr>
        <w:t>Ageing baby boomers in Australia: Understanding the effects of the global financial crisis</w:t>
      </w:r>
      <w:r>
        <w:t>. Canberra: National Seniors Productive Ageing Centre.</w:t>
      </w:r>
    </w:p>
    <w:p w:rsidR="00362027" w:rsidRDefault="00362027" w:rsidP="00362027">
      <w:pPr>
        <w:ind w:left="567" w:hanging="567"/>
      </w:pPr>
      <w:r>
        <w:t xml:space="preserve">NSW Hansard (2004) </w:t>
      </w:r>
      <w:r w:rsidRPr="003F2514">
        <w:rPr>
          <w:i/>
        </w:rPr>
        <w:t>NSW Legislative Assembly Hansard</w:t>
      </w:r>
      <w:r>
        <w:t>, 5.15pm, 17 March 2004, Speech by Mr Anthony Roberts.</w:t>
      </w:r>
    </w:p>
    <w:p w:rsidR="00362027" w:rsidRDefault="00362027" w:rsidP="00362027">
      <w:pPr>
        <w:ind w:left="567" w:hanging="567"/>
      </w:pPr>
      <w:r>
        <w:t xml:space="preserve">Phillipson, C. (2011) Challenging social exclusion in old age: National policies and global pressures, Presentation 11 Feb 2011, Keele University, Keele. Accessed 21 Feb 2013 from </w:t>
      </w:r>
      <w:hyperlink r:id="rId11" w:history="1">
        <w:r w:rsidRPr="009D688A">
          <w:rPr>
            <w:rStyle w:val="Hyperlink"/>
          </w:rPr>
          <w:t>www.crsi.mq.edu.au/public/download.jsp?id=10628</w:t>
        </w:r>
      </w:hyperlink>
      <w:r>
        <w:t xml:space="preserve"> </w:t>
      </w:r>
    </w:p>
    <w:p w:rsidR="00362027" w:rsidRDefault="00362027" w:rsidP="00362027">
      <w:pPr>
        <w:ind w:left="567" w:hanging="567"/>
      </w:pPr>
      <w:r>
        <w:t xml:space="preserve">Sen, A. (1980) Equality of </w:t>
      </w:r>
      <w:r w:rsidR="00A948D8">
        <w:t>what? in S. McMurran (e</w:t>
      </w:r>
      <w:r>
        <w:t xml:space="preserve">d.) </w:t>
      </w:r>
      <w:r w:rsidRPr="008130DB">
        <w:rPr>
          <w:i/>
        </w:rPr>
        <w:t>The Tanner lectures on human value.</w:t>
      </w:r>
      <w:r w:rsidR="00A948D8">
        <w:t xml:space="preserve"> Salt Lake City: University of Utah Press, pp.195-220.</w:t>
      </w:r>
    </w:p>
    <w:p w:rsidR="00362027" w:rsidRDefault="00362027" w:rsidP="00362027">
      <w:pPr>
        <w:ind w:left="567" w:hanging="567"/>
      </w:pPr>
      <w:r>
        <w:t xml:space="preserve">ShedOnLine (2013) </w:t>
      </w:r>
      <w:hyperlink r:id="rId12" w:history="1">
        <w:r w:rsidRPr="00C0474A">
          <w:rPr>
            <w:rStyle w:val="Hyperlink"/>
          </w:rPr>
          <w:t>http://www.theshedonline.org.au/discussions/</w:t>
        </w:r>
      </w:hyperlink>
      <w:r>
        <w:t xml:space="preserve"> Accessed Feb 21 2013.</w:t>
      </w:r>
    </w:p>
    <w:p w:rsidR="00362027" w:rsidRDefault="00362027" w:rsidP="00362027">
      <w:pPr>
        <w:tabs>
          <w:tab w:val="left" w:pos="3119"/>
        </w:tabs>
        <w:ind w:left="567" w:hanging="567"/>
      </w:pPr>
      <w:r w:rsidRPr="00CB4830">
        <w:t xml:space="preserve">Soulsby. J, </w:t>
      </w:r>
      <w:r>
        <w:t>(</w:t>
      </w:r>
      <w:r w:rsidRPr="00CB4830">
        <w:t>2000</w:t>
      </w:r>
      <w:r>
        <w:t xml:space="preserve">) </w:t>
      </w:r>
      <w:r>
        <w:rPr>
          <w:i/>
        </w:rPr>
        <w:t>4th Age learning r</w:t>
      </w:r>
      <w:r w:rsidRPr="00CB4830">
        <w:rPr>
          <w:i/>
        </w:rPr>
        <w:t>eport</w:t>
      </w:r>
      <w:r>
        <w:t>. Leicester: NIACE.</w:t>
      </w:r>
    </w:p>
    <w:p w:rsidR="00362027" w:rsidRDefault="00362027" w:rsidP="00362027">
      <w:pPr>
        <w:tabs>
          <w:tab w:val="left" w:pos="3119"/>
        </w:tabs>
        <w:ind w:left="567" w:hanging="567"/>
      </w:pPr>
      <w:r>
        <w:t xml:space="preserve">Tse, T. (2005) Adult day groups: Addressing older people’s need for activity and companionship, </w:t>
      </w:r>
      <w:r w:rsidRPr="008B4AE8">
        <w:rPr>
          <w:i/>
        </w:rPr>
        <w:t xml:space="preserve">Australasian Journal of Ageing </w:t>
      </w:r>
      <w:r>
        <w:t>24 (3), pp. 134-40.</w:t>
      </w:r>
    </w:p>
    <w:p w:rsidR="00362027" w:rsidRDefault="002971AE" w:rsidP="00362027">
      <w:pPr>
        <w:tabs>
          <w:tab w:val="left" w:pos="3119"/>
        </w:tabs>
        <w:ind w:left="567" w:hanging="567"/>
      </w:pPr>
      <w:r>
        <w:t xml:space="preserve">UN - </w:t>
      </w:r>
      <w:r w:rsidR="00362027">
        <w:t xml:space="preserve">United Nations Secretariat (2008) </w:t>
      </w:r>
      <w:r w:rsidR="00362027" w:rsidRPr="002A5623">
        <w:rPr>
          <w:i/>
        </w:rPr>
        <w:t>World population prospects: 2008 revision</w:t>
      </w:r>
      <w:r w:rsidR="00362027">
        <w:t>. New York City: UN.</w:t>
      </w:r>
    </w:p>
    <w:p w:rsidR="00362027" w:rsidRDefault="00362027" w:rsidP="00362027">
      <w:pPr>
        <w:tabs>
          <w:tab w:val="left" w:pos="3119"/>
        </w:tabs>
        <w:ind w:left="567" w:hanging="567"/>
      </w:pPr>
      <w:r>
        <w:t xml:space="preserve">VECCI Victorian Employers’ Chamber of Commerce and Industry (2003) </w:t>
      </w:r>
      <w:r w:rsidRPr="00D047FE">
        <w:rPr>
          <w:i/>
        </w:rPr>
        <w:t>Older workers: Myths and realities</w:t>
      </w:r>
      <w:r>
        <w:t>. Melbourne: VECCI.</w:t>
      </w:r>
    </w:p>
    <w:p w:rsidR="00D5018F" w:rsidRDefault="00D5018F"/>
    <w:sectPr w:rsidR="00D5018F" w:rsidSect="00D5018F">
      <w:footerReference w:type="even" r:id="rId13"/>
      <w:footerReference w:type="default" r:id="rId14"/>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86453C">
      <w:r>
        <w:separator/>
      </w:r>
    </w:p>
  </w:endnote>
  <w:endnote w:type="continuationSeparator" w:id="0">
    <w:p w:rsidR="00000000" w:rsidRDefault="00864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6CD0" w:rsidRDefault="00866CD0" w:rsidP="00D501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66CD0" w:rsidRDefault="00866CD0" w:rsidP="00D5018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6CD0" w:rsidRDefault="00866CD0" w:rsidP="00D5018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6453C">
      <w:rPr>
        <w:rStyle w:val="PageNumber"/>
        <w:noProof/>
      </w:rPr>
      <w:t>1</w:t>
    </w:r>
    <w:r>
      <w:rPr>
        <w:rStyle w:val="PageNumber"/>
      </w:rPr>
      <w:fldChar w:fldCharType="end"/>
    </w:r>
  </w:p>
  <w:p w:rsidR="00866CD0" w:rsidRDefault="00866CD0" w:rsidP="00D5018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86453C">
      <w:r>
        <w:separator/>
      </w:r>
    </w:p>
  </w:footnote>
  <w:footnote w:type="continuationSeparator" w:id="0">
    <w:p w:rsidR="00000000" w:rsidRDefault="008645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027"/>
    <w:rsid w:val="000B5760"/>
    <w:rsid w:val="000D38F2"/>
    <w:rsid w:val="00212171"/>
    <w:rsid w:val="002971AE"/>
    <w:rsid w:val="00362027"/>
    <w:rsid w:val="00362675"/>
    <w:rsid w:val="0086453C"/>
    <w:rsid w:val="00866CD0"/>
    <w:rsid w:val="008B6CDC"/>
    <w:rsid w:val="00A948D8"/>
    <w:rsid w:val="00D5018F"/>
    <w:rsid w:val="00DD50DA"/>
    <w:rsid w:val="00E22FAC"/>
    <w:rsid w:val="00E53A65"/>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027"/>
    <w:rPr>
      <w:rFonts w:ascii="Times New Roman" w:eastAsia="Times New Roman" w:hAnsi="Times New Roman" w:cs="Times New Roman"/>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362027"/>
    <w:rPr>
      <w:rFonts w:ascii="Lucida Grande" w:eastAsia="Times New Roman" w:hAnsi="Lucida Grande" w:cs="Times New Roman"/>
      <w:sz w:val="18"/>
      <w:szCs w:val="18"/>
      <w:lang w:val="en-AU" w:eastAsia="en-AU"/>
    </w:rPr>
  </w:style>
  <w:style w:type="paragraph" w:styleId="BalloonText">
    <w:name w:val="Balloon Text"/>
    <w:basedOn w:val="Normal"/>
    <w:link w:val="BalloonTextChar"/>
    <w:uiPriority w:val="99"/>
    <w:semiHidden/>
    <w:unhideWhenUsed/>
    <w:rsid w:val="00362027"/>
    <w:rPr>
      <w:rFonts w:ascii="Lucida Grande" w:hAnsi="Lucida Grande"/>
      <w:sz w:val="18"/>
      <w:szCs w:val="18"/>
    </w:rPr>
  </w:style>
  <w:style w:type="character" w:customStyle="1" w:styleId="FooterChar">
    <w:name w:val="Footer Char"/>
    <w:basedOn w:val="DefaultParagraphFont"/>
    <w:link w:val="Footer"/>
    <w:uiPriority w:val="99"/>
    <w:rsid w:val="00362027"/>
    <w:rPr>
      <w:rFonts w:ascii="Times New Roman" w:eastAsia="Times New Roman" w:hAnsi="Times New Roman" w:cs="Times New Roman"/>
      <w:lang w:val="en-AU" w:eastAsia="en-AU"/>
    </w:rPr>
  </w:style>
  <w:style w:type="paragraph" w:styleId="Footer">
    <w:name w:val="footer"/>
    <w:basedOn w:val="Normal"/>
    <w:link w:val="FooterChar"/>
    <w:uiPriority w:val="99"/>
    <w:unhideWhenUsed/>
    <w:rsid w:val="00362027"/>
    <w:pPr>
      <w:tabs>
        <w:tab w:val="center" w:pos="4320"/>
        <w:tab w:val="right" w:pos="8640"/>
      </w:tabs>
    </w:pPr>
  </w:style>
  <w:style w:type="character" w:customStyle="1" w:styleId="HeaderChar">
    <w:name w:val="Header Char"/>
    <w:basedOn w:val="DefaultParagraphFont"/>
    <w:link w:val="Header"/>
    <w:uiPriority w:val="99"/>
    <w:semiHidden/>
    <w:rsid w:val="00362027"/>
    <w:rPr>
      <w:rFonts w:ascii="Times New Roman" w:eastAsia="Times New Roman" w:hAnsi="Times New Roman" w:cs="Times New Roman"/>
      <w:lang w:val="en-AU" w:eastAsia="en-AU"/>
    </w:rPr>
  </w:style>
  <w:style w:type="paragraph" w:styleId="Header">
    <w:name w:val="header"/>
    <w:basedOn w:val="Normal"/>
    <w:link w:val="HeaderChar"/>
    <w:uiPriority w:val="99"/>
    <w:semiHidden/>
    <w:unhideWhenUsed/>
    <w:rsid w:val="00362027"/>
    <w:pPr>
      <w:tabs>
        <w:tab w:val="center" w:pos="4320"/>
        <w:tab w:val="right" w:pos="8640"/>
      </w:tabs>
    </w:pPr>
  </w:style>
  <w:style w:type="character" w:styleId="Hyperlink">
    <w:name w:val="Hyperlink"/>
    <w:basedOn w:val="DefaultParagraphFont"/>
    <w:uiPriority w:val="99"/>
    <w:semiHidden/>
    <w:unhideWhenUsed/>
    <w:rsid w:val="00362027"/>
    <w:rPr>
      <w:color w:val="0000FF" w:themeColor="hyperlink"/>
      <w:u w:val="single"/>
    </w:rPr>
  </w:style>
  <w:style w:type="character" w:styleId="PageNumber">
    <w:name w:val="page number"/>
    <w:basedOn w:val="DefaultParagraphFont"/>
    <w:uiPriority w:val="99"/>
    <w:semiHidden/>
    <w:unhideWhenUsed/>
    <w:rsid w:val="0036202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2027"/>
    <w:rPr>
      <w:rFonts w:ascii="Times New Roman" w:eastAsia="Times New Roman" w:hAnsi="Times New Roman" w:cs="Times New Roman"/>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362027"/>
    <w:rPr>
      <w:rFonts w:ascii="Lucida Grande" w:eastAsia="Times New Roman" w:hAnsi="Lucida Grande" w:cs="Times New Roman"/>
      <w:sz w:val="18"/>
      <w:szCs w:val="18"/>
      <w:lang w:val="en-AU" w:eastAsia="en-AU"/>
    </w:rPr>
  </w:style>
  <w:style w:type="paragraph" w:styleId="BalloonText">
    <w:name w:val="Balloon Text"/>
    <w:basedOn w:val="Normal"/>
    <w:link w:val="BalloonTextChar"/>
    <w:uiPriority w:val="99"/>
    <w:semiHidden/>
    <w:unhideWhenUsed/>
    <w:rsid w:val="00362027"/>
    <w:rPr>
      <w:rFonts w:ascii="Lucida Grande" w:hAnsi="Lucida Grande"/>
      <w:sz w:val="18"/>
      <w:szCs w:val="18"/>
    </w:rPr>
  </w:style>
  <w:style w:type="character" w:customStyle="1" w:styleId="FooterChar">
    <w:name w:val="Footer Char"/>
    <w:basedOn w:val="DefaultParagraphFont"/>
    <w:link w:val="Footer"/>
    <w:uiPriority w:val="99"/>
    <w:rsid w:val="00362027"/>
    <w:rPr>
      <w:rFonts w:ascii="Times New Roman" w:eastAsia="Times New Roman" w:hAnsi="Times New Roman" w:cs="Times New Roman"/>
      <w:lang w:val="en-AU" w:eastAsia="en-AU"/>
    </w:rPr>
  </w:style>
  <w:style w:type="paragraph" w:styleId="Footer">
    <w:name w:val="footer"/>
    <w:basedOn w:val="Normal"/>
    <w:link w:val="FooterChar"/>
    <w:uiPriority w:val="99"/>
    <w:unhideWhenUsed/>
    <w:rsid w:val="00362027"/>
    <w:pPr>
      <w:tabs>
        <w:tab w:val="center" w:pos="4320"/>
        <w:tab w:val="right" w:pos="8640"/>
      </w:tabs>
    </w:pPr>
  </w:style>
  <w:style w:type="character" w:customStyle="1" w:styleId="HeaderChar">
    <w:name w:val="Header Char"/>
    <w:basedOn w:val="DefaultParagraphFont"/>
    <w:link w:val="Header"/>
    <w:uiPriority w:val="99"/>
    <w:semiHidden/>
    <w:rsid w:val="00362027"/>
    <w:rPr>
      <w:rFonts w:ascii="Times New Roman" w:eastAsia="Times New Roman" w:hAnsi="Times New Roman" w:cs="Times New Roman"/>
      <w:lang w:val="en-AU" w:eastAsia="en-AU"/>
    </w:rPr>
  </w:style>
  <w:style w:type="paragraph" w:styleId="Header">
    <w:name w:val="header"/>
    <w:basedOn w:val="Normal"/>
    <w:link w:val="HeaderChar"/>
    <w:uiPriority w:val="99"/>
    <w:semiHidden/>
    <w:unhideWhenUsed/>
    <w:rsid w:val="00362027"/>
    <w:pPr>
      <w:tabs>
        <w:tab w:val="center" w:pos="4320"/>
        <w:tab w:val="right" w:pos="8640"/>
      </w:tabs>
    </w:pPr>
  </w:style>
  <w:style w:type="character" w:styleId="Hyperlink">
    <w:name w:val="Hyperlink"/>
    <w:basedOn w:val="DefaultParagraphFont"/>
    <w:uiPriority w:val="99"/>
    <w:semiHidden/>
    <w:unhideWhenUsed/>
    <w:rsid w:val="00362027"/>
    <w:rPr>
      <w:color w:val="0000FF" w:themeColor="hyperlink"/>
      <w:u w:val="single"/>
    </w:rPr>
  </w:style>
  <w:style w:type="character" w:styleId="PageNumber">
    <w:name w:val="page number"/>
    <w:basedOn w:val="DefaultParagraphFont"/>
    <w:uiPriority w:val="99"/>
    <w:semiHidden/>
    <w:unhideWhenUsed/>
    <w:rsid w:val="003620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crsi.mq.edu.au/public/download.jsp?id=10628" TargetMode="External"/><Relationship Id="rId12" Type="http://schemas.openxmlformats.org/officeDocument/2006/relationships/hyperlink" Target="http://www.theshedonline.org.au/discussions/"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vieira@fpce.uc.pt" TargetMode="External"/><Relationship Id="rId8" Type="http://schemas.openxmlformats.org/officeDocument/2006/relationships/hyperlink" Target="mailto:b.golding@ballarat.edu.au" TargetMode="External"/><Relationship Id="rId9" Type="http://schemas.openxmlformats.org/officeDocument/2006/relationships/hyperlink" Target="http://www.edenalt.org" TargetMode="External"/><Relationship Id="rId10" Type="http://schemas.openxmlformats.org/officeDocument/2006/relationships/hyperlink" Target="http://www.neogaf.com/forum/showthread.php?t=38134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6464</Words>
  <Characters>32970</Characters>
  <Application>Microsoft Macintosh Word</Application>
  <DocSecurity>4</DocSecurity>
  <Lines>484</Lines>
  <Paragraphs>149</Paragraphs>
  <ScaleCrop>false</ScaleCrop>
  <Company>University of Ballarat</Company>
  <LinksUpToDate>false</LinksUpToDate>
  <CharactersWithSpaces>39285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Golding</dc:creator>
  <cp:keywords/>
  <cp:lastModifiedBy>Barry Golding</cp:lastModifiedBy>
  <cp:revision>2</cp:revision>
  <dcterms:created xsi:type="dcterms:W3CDTF">2013-04-03T02:34:00Z</dcterms:created>
  <dcterms:modified xsi:type="dcterms:W3CDTF">2013-04-03T02:34:00Z</dcterms:modified>
</cp:coreProperties>
</file>